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capacity-shortfall</w:t>
      </w:r>
    </w:p>
    <w:p>
      <w:r>
        <w:t>Broker: Acme</w:t>
      </w:r>
    </w:p>
    <w:p>
      <w:r>
        <w:t>Total insured value: 20000000</w:t>
      </w:r>
    </w:p>
    <w:p>
      <w:r>
        <w:t>Commodity: STEEL</w:t>
      </w:r>
    </w:p>
    <w:p>
      <w:r>
        <w:t>12 Port Road (sprinklered=True)</w:t>
      </w:r>
    </w:p>
    <w:p>
      <w:r>
        <w:t>Expected: ?</w:t>
      </w:r>
    </w:p>
    <w:p>
      <w:r>
        <w:t>SUBMISSION-DATA-B64: eyJicm9rZXJfbmFtZSI6IkFjbWUiLCJjb21tb2RpdGllcyI6W3siY29tbW9kaXR5X3R5cGUiOiJTVEVFTCJ9XSwibG9jYXRpb25zIjpbeyJhZGRyZXNzIjoiMTIgUG9ydCBSb2FkIiwic3ByaW5rbGVyZWQiOnRydWV9XSwidG90YWxfaW5zdXJlZF92YWx1ZSI6MjAwMDAwMDB9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