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expiring-disclosed-bite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no eligible binder</w:t>
      </w:r>
    </w:p>
    <w:p>
      <w:r>
        <w:t>SUBMISSION-DATA-B64: eyJicm9rZXJfbmFtZSI6IkFjbWUiLCJjb21tb2RpdGllcyI6W3siY29tbW9kaXR5X3R5cGUiOiJTVEVFTCJ9XSwiY292ZXJhZ2Vfc2VjdGlvbnMiOlt7ImxpbWl0IjoxMDAwMDAwfV0sImNvdmVyYWdlX3R5cGUiOiJBTExfUklTSyIsImV4cGlyaW5nX3ByZW1pdW1fZGlzY2xvc2VkIjp0cnVlLCJpbnN1cmVkX2luX2NvbnRpbmVudGFsX3VzIjp0cnVlLCJsb2NhdGlvbnMiOlt7ImFkZHJlc3MiOiIxMiBQb3J0IFJvYWQiLCJzcHJpbmtsZXJlZCI6dHJ1ZX1dLCJyZXF1ZXN0ZWRfaW5jZXB0aW9uX2RhdGUiOiIyMDMwLTAxLTAxIiwidG90YWxfaW5zdXJlZF92YWx1ZSI6MjAwMDAwMCwidmFsdWF0aW9uX2Jhc2lzIjoiQ0lGKzEwJSJ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