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1F5F" w14:textId="77777777" w:rsidR="00681821" w:rsidRDefault="00681821">
      <w:pPr>
        <w:spacing w:before="60" w:after="20"/>
        <w:jc w:val="center"/>
        <w:rPr>
          <w:rFonts w:ascii="Calibri" w:eastAsia="Georgia" w:hAnsi="Calibri" w:cs="Calibri"/>
          <w:b/>
          <w:bCs/>
          <w:color w:val="B8860B"/>
          <w:sz w:val="28"/>
          <w:szCs w:val="28"/>
        </w:rPr>
      </w:pPr>
    </w:p>
    <w:p w14:paraId="3A9DF317" w14:textId="77777777" w:rsidR="00681821" w:rsidRDefault="00681821">
      <w:pPr>
        <w:spacing w:before="60" w:after="20"/>
        <w:jc w:val="center"/>
        <w:rPr>
          <w:rFonts w:ascii="Calibri" w:eastAsia="Georgia" w:hAnsi="Calibri" w:cs="Calibri"/>
          <w:b/>
          <w:bCs/>
          <w:color w:val="B8860B"/>
          <w:sz w:val="28"/>
          <w:szCs w:val="28"/>
        </w:rPr>
      </w:pPr>
    </w:p>
    <w:p w14:paraId="46D2EDD1" w14:textId="267A3DB4" w:rsidR="009E6728" w:rsidRPr="00681821" w:rsidRDefault="00000000">
      <w:pPr>
        <w:spacing w:before="60" w:after="20"/>
        <w:jc w:val="center"/>
        <w:rPr>
          <w:rFonts w:ascii="Calibri" w:hAnsi="Calibri" w:cs="Calibri"/>
          <w:sz w:val="28"/>
          <w:szCs w:val="28"/>
        </w:rPr>
      </w:pPr>
      <w:r w:rsidRPr="00681821">
        <w:rPr>
          <w:rFonts w:ascii="Calibri" w:eastAsia="Georgia" w:hAnsi="Calibri" w:cs="Calibri"/>
          <w:b/>
          <w:bCs/>
          <w:color w:val="B8860B"/>
          <w:sz w:val="28"/>
          <w:szCs w:val="28"/>
        </w:rPr>
        <w:t>GOLDEN PEACOCK AWARD</w:t>
      </w:r>
    </w:p>
    <w:p w14:paraId="24FA3482" w14:textId="77777777" w:rsidR="009E6728" w:rsidRPr="00681821" w:rsidRDefault="00000000">
      <w:pPr>
        <w:spacing w:after="20"/>
        <w:jc w:val="center"/>
        <w:rPr>
          <w:rFonts w:ascii="Calibri" w:hAnsi="Calibri" w:cs="Calibri"/>
          <w:sz w:val="28"/>
          <w:szCs w:val="28"/>
        </w:rPr>
      </w:pPr>
      <w:r w:rsidRPr="00681821">
        <w:rPr>
          <w:rFonts w:ascii="Calibri" w:eastAsia="Georgia" w:hAnsi="Calibri" w:cs="Calibri"/>
          <w:b/>
          <w:bCs/>
          <w:color w:val="0D2B4E"/>
          <w:sz w:val="28"/>
          <w:szCs w:val="28"/>
        </w:rPr>
        <w:t>for Sustainability (GPAS) &amp; ESG (GPAESG)</w:t>
      </w:r>
    </w:p>
    <w:p w14:paraId="2DBD20F1" w14:textId="7280BD9C" w:rsidR="009E6728" w:rsidRDefault="00681821">
      <w:pPr>
        <w:spacing w:after="40"/>
        <w:jc w:val="center"/>
        <w:rPr>
          <w:rFonts w:ascii="Calibri" w:eastAsia="Georgia" w:hAnsi="Calibri" w:cs="Calibri"/>
          <w:i/>
          <w:iCs/>
          <w:color w:val="444444"/>
          <w:sz w:val="28"/>
          <w:szCs w:val="28"/>
        </w:rPr>
      </w:pPr>
      <w:r w:rsidRPr="00681821">
        <w:rPr>
          <w:rFonts w:ascii="Calibri" w:eastAsia="Georgia" w:hAnsi="Calibri" w:cs="Calibri"/>
          <w:i/>
          <w:iCs/>
          <w:color w:val="444444"/>
          <w:sz w:val="28"/>
          <w:szCs w:val="28"/>
        </w:rPr>
        <w:t>KPIs Summary Note &amp; Guideline-Mapped Readiness Review | Issue 2026</w:t>
      </w:r>
    </w:p>
    <w:p w14:paraId="52F22BBE" w14:textId="77777777" w:rsidR="00681821" w:rsidRDefault="00681821">
      <w:pPr>
        <w:spacing w:after="40"/>
        <w:jc w:val="center"/>
        <w:rPr>
          <w:rFonts w:ascii="Calibri" w:eastAsia="Georgia" w:hAnsi="Calibri" w:cs="Calibri"/>
          <w:i/>
          <w:iCs/>
          <w:color w:val="444444"/>
          <w:sz w:val="28"/>
          <w:szCs w:val="28"/>
        </w:rPr>
      </w:pPr>
    </w:p>
    <w:p w14:paraId="1B451131" w14:textId="77777777" w:rsidR="00681821" w:rsidRPr="00681821" w:rsidRDefault="00681821">
      <w:pPr>
        <w:spacing w:after="40"/>
        <w:jc w:val="center"/>
        <w:rPr>
          <w:rFonts w:ascii="Calibri" w:hAnsi="Calibri" w:cs="Calibri"/>
          <w:sz w:val="28"/>
          <w:szCs w:val="28"/>
        </w:rPr>
      </w:pPr>
    </w:p>
    <w:p w14:paraId="4BA57C7D" w14:textId="77777777" w:rsidR="009E6728" w:rsidRPr="00681821" w:rsidRDefault="00000000">
      <w:pPr>
        <w:spacing w:after="20"/>
        <w:jc w:val="center"/>
        <w:rPr>
          <w:rFonts w:ascii="Calibri" w:hAnsi="Calibri" w:cs="Calibri"/>
          <w:sz w:val="28"/>
          <w:szCs w:val="28"/>
        </w:rPr>
      </w:pPr>
      <w:r w:rsidRPr="00681821">
        <w:rPr>
          <w:rFonts w:ascii="Calibri" w:eastAsia="Georgia" w:hAnsi="Calibri" w:cs="Calibri"/>
          <w:b/>
          <w:bCs/>
          <w:color w:val="006064"/>
          <w:sz w:val="28"/>
          <w:szCs w:val="28"/>
        </w:rPr>
        <w:t>JAL REKHA</w:t>
      </w:r>
    </w:p>
    <w:p w14:paraId="26A5B76E" w14:textId="77777777" w:rsidR="009E6728" w:rsidRPr="00681821" w:rsidRDefault="00000000">
      <w:pPr>
        <w:spacing w:after="20"/>
        <w:jc w:val="center"/>
        <w:rPr>
          <w:rFonts w:ascii="Calibri" w:hAnsi="Calibri" w:cs="Calibri"/>
          <w:sz w:val="28"/>
          <w:szCs w:val="28"/>
        </w:rPr>
      </w:pPr>
      <w:r w:rsidRPr="00681821">
        <w:rPr>
          <w:rFonts w:ascii="Calibri" w:eastAsia="Georgia" w:hAnsi="Calibri" w:cs="Calibri"/>
          <w:b/>
          <w:bCs/>
          <w:color w:val="0D2B4E"/>
          <w:sz w:val="28"/>
          <w:szCs w:val="28"/>
        </w:rPr>
        <w:t>Digital Water Supply Governance &amp; Monitoring Platform</w:t>
      </w:r>
    </w:p>
    <w:p w14:paraId="3E7ABFA4" w14:textId="77777777" w:rsidR="009E6728" w:rsidRPr="00681821" w:rsidRDefault="00000000">
      <w:pPr>
        <w:spacing w:after="16"/>
        <w:jc w:val="center"/>
        <w:rPr>
          <w:rFonts w:ascii="Calibri" w:hAnsi="Calibri" w:cs="Calibri"/>
          <w:sz w:val="28"/>
          <w:szCs w:val="28"/>
        </w:rPr>
      </w:pPr>
      <w:r w:rsidRPr="00681821">
        <w:rPr>
          <w:rFonts w:ascii="Calibri" w:hAnsi="Calibri" w:cs="Calibri"/>
          <w:color w:val="555555"/>
          <w:sz w:val="28"/>
          <w:szCs w:val="28"/>
        </w:rPr>
        <w:t xml:space="preserve">Government of Madhya Pradesh | MP Jal Nigam </w:t>
      </w:r>
      <w:proofErr w:type="spellStart"/>
      <w:r w:rsidRPr="00681821">
        <w:rPr>
          <w:rFonts w:ascii="Calibri" w:hAnsi="Calibri" w:cs="Calibri"/>
          <w:color w:val="555555"/>
          <w:sz w:val="28"/>
          <w:szCs w:val="28"/>
        </w:rPr>
        <w:t>Maryadit</w:t>
      </w:r>
      <w:proofErr w:type="spellEnd"/>
      <w:r w:rsidRPr="00681821">
        <w:rPr>
          <w:rFonts w:ascii="Calibri" w:hAnsi="Calibri" w:cs="Calibri"/>
          <w:color w:val="555555"/>
          <w:sz w:val="28"/>
          <w:szCs w:val="28"/>
        </w:rPr>
        <w:t xml:space="preserve"> | </w:t>
      </w:r>
      <w:proofErr w:type="spellStart"/>
      <w:r w:rsidRPr="00681821">
        <w:rPr>
          <w:rFonts w:ascii="Calibri" w:hAnsi="Calibri" w:cs="Calibri"/>
          <w:color w:val="555555"/>
          <w:sz w:val="28"/>
          <w:szCs w:val="28"/>
        </w:rPr>
        <w:t>MPSeDC</w:t>
      </w:r>
      <w:proofErr w:type="spellEnd"/>
    </w:p>
    <w:p w14:paraId="0616D7C4" w14:textId="77777777" w:rsidR="009E6728" w:rsidRPr="00681821" w:rsidRDefault="00000000">
      <w:pPr>
        <w:spacing w:after="60"/>
        <w:jc w:val="center"/>
        <w:rPr>
          <w:rFonts w:ascii="Calibri" w:hAnsi="Calibri" w:cs="Calibri"/>
          <w:sz w:val="22"/>
          <w:szCs w:val="22"/>
        </w:rPr>
      </w:pPr>
      <w:r w:rsidRPr="00681821">
        <w:rPr>
          <w:rFonts w:ascii="Calibri" w:hAnsi="Calibri" w:cs="Calibri"/>
          <w:color w:val="888888"/>
          <w:sz w:val="22"/>
          <w:szCs w:val="22"/>
        </w:rPr>
        <w:t xml:space="preserve">State IT Centre, 47-A </w:t>
      </w:r>
      <w:proofErr w:type="spellStart"/>
      <w:r w:rsidRPr="00681821">
        <w:rPr>
          <w:rFonts w:ascii="Calibri" w:hAnsi="Calibri" w:cs="Calibri"/>
          <w:color w:val="888888"/>
          <w:sz w:val="22"/>
          <w:szCs w:val="22"/>
        </w:rPr>
        <w:t>Arera</w:t>
      </w:r>
      <w:proofErr w:type="spellEnd"/>
      <w:r w:rsidRPr="00681821">
        <w:rPr>
          <w:rFonts w:ascii="Calibri" w:hAnsi="Calibri" w:cs="Calibri"/>
          <w:color w:val="888888"/>
          <w:sz w:val="22"/>
          <w:szCs w:val="22"/>
        </w:rPr>
        <w:t xml:space="preserve"> Hills, Bhopal 462011 | www.mpsedc.mp.gov.in</w:t>
      </w:r>
    </w:p>
    <w:p w14:paraId="35601DDF" w14:textId="77777777" w:rsidR="009E6728" w:rsidRDefault="009E6728">
      <w:pPr>
        <w:spacing w:before="60"/>
        <w:rPr>
          <w:rFonts w:ascii="Calibri" w:hAnsi="Calibri" w:cs="Calibri"/>
          <w:sz w:val="22"/>
          <w:szCs w:val="22"/>
        </w:rPr>
      </w:pPr>
    </w:p>
    <w:p w14:paraId="4C0027D5" w14:textId="77777777" w:rsidR="00681821" w:rsidRDefault="00681821">
      <w:pPr>
        <w:spacing w:before="60"/>
        <w:rPr>
          <w:rFonts w:ascii="Calibri" w:hAnsi="Calibri" w:cs="Calibri"/>
          <w:sz w:val="22"/>
          <w:szCs w:val="22"/>
        </w:rPr>
      </w:pPr>
    </w:p>
    <w:p w14:paraId="0488831A" w14:textId="77777777" w:rsidR="00681821" w:rsidRDefault="00681821">
      <w:pPr>
        <w:spacing w:before="60"/>
        <w:rPr>
          <w:rFonts w:ascii="Calibri" w:hAnsi="Calibri" w:cs="Calibri"/>
          <w:sz w:val="22"/>
          <w:szCs w:val="22"/>
        </w:rPr>
      </w:pPr>
    </w:p>
    <w:p w14:paraId="7B964370" w14:textId="77777777" w:rsidR="00681821" w:rsidRPr="00681821" w:rsidRDefault="00681821">
      <w:pPr>
        <w:spacing w:before="6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560"/>
        <w:gridCol w:w="1600"/>
        <w:gridCol w:w="2600"/>
      </w:tblGrid>
      <w:tr w:rsidR="009E6728" w:rsidRPr="00681821" w14:paraId="76ECE1D4" w14:textId="77777777">
        <w:tc>
          <w:tcPr>
            <w:tcW w:w="1600" w:type="dxa"/>
            <w:tcBorders>
              <w:top w:val="single" w:sz="1" w:space="0" w:color="CCCCCC"/>
              <w:left w:val="single" w:sz="1" w:space="0" w:color="CCCCCC"/>
              <w:bottom w:val="single" w:sz="1" w:space="0" w:color="CCCCCC"/>
              <w:right w:val="single" w:sz="1" w:space="0" w:color="CCCCCC"/>
            </w:tcBorders>
            <w:shd w:val="clear" w:color="auto" w:fill="0D2B4E"/>
            <w:tcMar>
              <w:top w:w="70" w:type="dxa"/>
              <w:left w:w="110" w:type="dxa"/>
              <w:bottom w:w="70" w:type="dxa"/>
              <w:right w:w="110" w:type="dxa"/>
            </w:tcMar>
          </w:tcPr>
          <w:p w14:paraId="4366B92C" w14:textId="77777777" w:rsidR="009E6728" w:rsidRPr="00681821" w:rsidRDefault="00000000">
            <w:pPr>
              <w:rPr>
                <w:rFonts w:ascii="Calibri" w:hAnsi="Calibri" w:cs="Calibri"/>
                <w:sz w:val="22"/>
                <w:szCs w:val="22"/>
              </w:rPr>
            </w:pPr>
            <w:r w:rsidRPr="00681821">
              <w:rPr>
                <w:rFonts w:ascii="Calibri" w:eastAsia="Georgia" w:hAnsi="Calibri" w:cs="Calibri"/>
                <w:b/>
                <w:bCs/>
                <w:color w:val="FFFFFF"/>
                <w:sz w:val="22"/>
                <w:szCs w:val="22"/>
              </w:rPr>
              <w:t>Project Name</w:t>
            </w:r>
          </w:p>
        </w:tc>
        <w:tc>
          <w:tcPr>
            <w:tcW w:w="3560" w:type="dxa"/>
            <w:tcBorders>
              <w:top w:val="single" w:sz="1" w:space="0" w:color="CCCCCC"/>
              <w:left w:val="single" w:sz="1" w:space="0" w:color="CCCCCC"/>
              <w:bottom w:val="single" w:sz="1" w:space="0" w:color="CCCCCC"/>
              <w:right w:val="single" w:sz="1" w:space="0" w:color="CCCCCC"/>
            </w:tcBorders>
            <w:shd w:val="clear" w:color="auto" w:fill="FFF8DC"/>
            <w:tcMar>
              <w:top w:w="70" w:type="dxa"/>
              <w:left w:w="110" w:type="dxa"/>
              <w:bottom w:w="70" w:type="dxa"/>
              <w:right w:w="110" w:type="dxa"/>
            </w:tcMar>
          </w:tcPr>
          <w:p w14:paraId="56DA998F"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Jal Rekha — Digital Water Supply Governance &amp; Monitoring Platform</w:t>
            </w:r>
          </w:p>
        </w:tc>
        <w:tc>
          <w:tcPr>
            <w:tcW w:w="1600" w:type="dxa"/>
            <w:tcBorders>
              <w:top w:val="single" w:sz="1" w:space="0" w:color="CCCCCC"/>
              <w:left w:val="single" w:sz="1" w:space="0" w:color="CCCCCC"/>
              <w:bottom w:val="single" w:sz="1" w:space="0" w:color="CCCCCC"/>
              <w:right w:val="single" w:sz="1" w:space="0" w:color="CCCCCC"/>
            </w:tcBorders>
            <w:shd w:val="clear" w:color="auto" w:fill="0D2B4E"/>
            <w:tcMar>
              <w:top w:w="70" w:type="dxa"/>
              <w:left w:w="110" w:type="dxa"/>
              <w:bottom w:w="70" w:type="dxa"/>
              <w:right w:w="110" w:type="dxa"/>
            </w:tcMar>
          </w:tcPr>
          <w:p w14:paraId="1B41F538" w14:textId="77777777" w:rsidR="009E6728" w:rsidRPr="00681821" w:rsidRDefault="00000000">
            <w:pPr>
              <w:rPr>
                <w:rFonts w:ascii="Calibri" w:hAnsi="Calibri" w:cs="Calibri"/>
                <w:sz w:val="22"/>
                <w:szCs w:val="22"/>
              </w:rPr>
            </w:pPr>
            <w:r w:rsidRPr="00681821">
              <w:rPr>
                <w:rFonts w:ascii="Calibri" w:eastAsia="Georgia" w:hAnsi="Calibri" w:cs="Calibri"/>
                <w:b/>
                <w:bCs/>
                <w:color w:val="FFFFFF"/>
                <w:sz w:val="22"/>
                <w:szCs w:val="22"/>
              </w:rPr>
              <w:t>Version</w:t>
            </w:r>
          </w:p>
        </w:tc>
        <w:tc>
          <w:tcPr>
            <w:tcW w:w="2600" w:type="dxa"/>
            <w:tcBorders>
              <w:top w:val="single" w:sz="1" w:space="0" w:color="CCCCCC"/>
              <w:left w:val="single" w:sz="1" w:space="0" w:color="CCCCCC"/>
              <w:bottom w:val="single" w:sz="1" w:space="0" w:color="CCCCCC"/>
              <w:right w:val="single" w:sz="1" w:space="0" w:color="CCCCCC"/>
            </w:tcBorders>
            <w:shd w:val="clear" w:color="auto" w:fill="FFF8DC"/>
            <w:tcMar>
              <w:top w:w="70" w:type="dxa"/>
              <w:left w:w="110" w:type="dxa"/>
              <w:bottom w:w="70" w:type="dxa"/>
              <w:right w:w="110" w:type="dxa"/>
            </w:tcMar>
          </w:tcPr>
          <w:p w14:paraId="4C6918E5"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1.0</w:t>
            </w:r>
          </w:p>
        </w:tc>
      </w:tr>
      <w:tr w:rsidR="009E6728" w:rsidRPr="00681821" w14:paraId="334EDF35" w14:textId="77777777">
        <w:tc>
          <w:tcPr>
            <w:tcW w:w="1600" w:type="dxa"/>
            <w:tcBorders>
              <w:top w:val="single" w:sz="1" w:space="0" w:color="CCCCCC"/>
              <w:left w:val="single" w:sz="1" w:space="0" w:color="CCCCCC"/>
              <w:bottom w:val="single" w:sz="1" w:space="0" w:color="CCCCCC"/>
              <w:right w:val="single" w:sz="1" w:space="0" w:color="CCCCCC"/>
            </w:tcBorders>
            <w:shd w:val="clear" w:color="auto" w:fill="0D2B4E"/>
            <w:tcMar>
              <w:top w:w="70" w:type="dxa"/>
              <w:left w:w="110" w:type="dxa"/>
              <w:bottom w:w="70" w:type="dxa"/>
              <w:right w:w="110" w:type="dxa"/>
            </w:tcMar>
          </w:tcPr>
          <w:p w14:paraId="78A07DA5" w14:textId="77777777" w:rsidR="009E6728" w:rsidRPr="00681821" w:rsidRDefault="00000000">
            <w:pPr>
              <w:rPr>
                <w:rFonts w:ascii="Calibri" w:hAnsi="Calibri" w:cs="Calibri"/>
                <w:sz w:val="22"/>
                <w:szCs w:val="22"/>
              </w:rPr>
            </w:pPr>
            <w:r w:rsidRPr="00681821">
              <w:rPr>
                <w:rFonts w:ascii="Calibri" w:eastAsia="Georgia" w:hAnsi="Calibri" w:cs="Calibri"/>
                <w:b/>
                <w:bCs/>
                <w:color w:val="FFFFFF"/>
                <w:sz w:val="22"/>
                <w:szCs w:val="22"/>
              </w:rPr>
              <w:t>Applicant Org.</w:t>
            </w:r>
          </w:p>
        </w:tc>
        <w:tc>
          <w:tcPr>
            <w:tcW w:w="3560" w:type="dxa"/>
            <w:tcBorders>
              <w:top w:val="single" w:sz="1" w:space="0" w:color="CCCCCC"/>
              <w:left w:val="single" w:sz="1" w:space="0" w:color="CCCCCC"/>
              <w:bottom w:val="single" w:sz="1" w:space="0" w:color="CCCCCC"/>
              <w:right w:val="single" w:sz="1" w:space="0" w:color="CCCCCC"/>
            </w:tcBorders>
            <w:shd w:val="clear" w:color="auto" w:fill="FDF5DC"/>
            <w:tcMar>
              <w:top w:w="70" w:type="dxa"/>
              <w:left w:w="110" w:type="dxa"/>
              <w:bottom w:w="70" w:type="dxa"/>
              <w:right w:w="110" w:type="dxa"/>
            </w:tcMar>
          </w:tcPr>
          <w:p w14:paraId="4001180E"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 xml:space="preserve">MP Jal Nigam </w:t>
            </w:r>
            <w:proofErr w:type="spellStart"/>
            <w:r w:rsidRPr="00681821">
              <w:rPr>
                <w:rFonts w:ascii="Calibri" w:hAnsi="Calibri" w:cs="Calibri"/>
                <w:color w:val="111111"/>
                <w:sz w:val="22"/>
                <w:szCs w:val="22"/>
              </w:rPr>
              <w:t>Maryadit</w:t>
            </w:r>
            <w:proofErr w:type="spellEnd"/>
            <w:r w:rsidRPr="00681821">
              <w:rPr>
                <w:rFonts w:ascii="Calibri" w:hAnsi="Calibri" w:cs="Calibri"/>
                <w:color w:val="111111"/>
                <w:sz w:val="22"/>
                <w:szCs w:val="22"/>
              </w:rPr>
              <w:t xml:space="preserve"> / </w:t>
            </w:r>
            <w:proofErr w:type="spellStart"/>
            <w:r w:rsidRPr="00681821">
              <w:rPr>
                <w:rFonts w:ascii="Calibri" w:hAnsi="Calibri" w:cs="Calibri"/>
                <w:color w:val="111111"/>
                <w:sz w:val="22"/>
                <w:szCs w:val="22"/>
              </w:rPr>
              <w:t>MPSeDC</w:t>
            </w:r>
            <w:proofErr w:type="spellEnd"/>
            <w:r w:rsidRPr="00681821">
              <w:rPr>
                <w:rFonts w:ascii="Calibri" w:hAnsi="Calibri" w:cs="Calibri"/>
                <w:color w:val="111111"/>
                <w:sz w:val="22"/>
                <w:szCs w:val="22"/>
              </w:rPr>
              <w:t xml:space="preserve"> (as implementing agency), Govt. of Madhya Pradesh</w:t>
            </w:r>
          </w:p>
        </w:tc>
        <w:tc>
          <w:tcPr>
            <w:tcW w:w="1600" w:type="dxa"/>
            <w:tcBorders>
              <w:top w:val="single" w:sz="1" w:space="0" w:color="CCCCCC"/>
              <w:left w:val="single" w:sz="1" w:space="0" w:color="CCCCCC"/>
              <w:bottom w:val="single" w:sz="1" w:space="0" w:color="CCCCCC"/>
              <w:right w:val="single" w:sz="1" w:space="0" w:color="CCCCCC"/>
            </w:tcBorders>
            <w:shd w:val="clear" w:color="auto" w:fill="0D2B4E"/>
            <w:tcMar>
              <w:top w:w="70" w:type="dxa"/>
              <w:left w:w="110" w:type="dxa"/>
              <w:bottom w:w="70" w:type="dxa"/>
              <w:right w:w="110" w:type="dxa"/>
            </w:tcMar>
          </w:tcPr>
          <w:p w14:paraId="0504A755" w14:textId="77777777" w:rsidR="009E6728" w:rsidRPr="00681821" w:rsidRDefault="00000000">
            <w:pPr>
              <w:rPr>
                <w:rFonts w:ascii="Calibri" w:hAnsi="Calibri" w:cs="Calibri"/>
                <w:sz w:val="22"/>
                <w:szCs w:val="22"/>
              </w:rPr>
            </w:pPr>
            <w:r w:rsidRPr="00681821">
              <w:rPr>
                <w:rFonts w:ascii="Calibri" w:eastAsia="Georgia" w:hAnsi="Calibri" w:cs="Calibri"/>
                <w:b/>
                <w:bCs/>
                <w:color w:val="FFFFFF"/>
                <w:sz w:val="22"/>
                <w:szCs w:val="22"/>
              </w:rPr>
              <w:t>Date</w:t>
            </w:r>
          </w:p>
        </w:tc>
        <w:tc>
          <w:tcPr>
            <w:tcW w:w="2600" w:type="dxa"/>
            <w:tcBorders>
              <w:top w:val="single" w:sz="1" w:space="0" w:color="CCCCCC"/>
              <w:left w:val="single" w:sz="1" w:space="0" w:color="CCCCCC"/>
              <w:bottom w:val="single" w:sz="1" w:space="0" w:color="CCCCCC"/>
              <w:right w:val="single" w:sz="1" w:space="0" w:color="CCCCCC"/>
            </w:tcBorders>
            <w:shd w:val="clear" w:color="auto" w:fill="FDF5DC"/>
            <w:tcMar>
              <w:top w:w="70" w:type="dxa"/>
              <w:left w:w="110" w:type="dxa"/>
              <w:bottom w:w="70" w:type="dxa"/>
              <w:right w:w="110" w:type="dxa"/>
            </w:tcMar>
          </w:tcPr>
          <w:p w14:paraId="1E941DFB"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20th August 2026</w:t>
            </w:r>
          </w:p>
        </w:tc>
      </w:tr>
      <w:tr w:rsidR="009E6728" w:rsidRPr="00681821" w14:paraId="7AE7536D" w14:textId="77777777">
        <w:tc>
          <w:tcPr>
            <w:tcW w:w="1600" w:type="dxa"/>
            <w:tcBorders>
              <w:top w:val="single" w:sz="1" w:space="0" w:color="CCCCCC"/>
              <w:left w:val="single" w:sz="1" w:space="0" w:color="CCCCCC"/>
              <w:bottom w:val="single" w:sz="1" w:space="0" w:color="CCCCCC"/>
              <w:right w:val="single" w:sz="1" w:space="0" w:color="CCCCCC"/>
            </w:tcBorders>
            <w:shd w:val="clear" w:color="auto" w:fill="0D2B4E"/>
            <w:tcMar>
              <w:top w:w="70" w:type="dxa"/>
              <w:left w:w="110" w:type="dxa"/>
              <w:bottom w:w="70" w:type="dxa"/>
              <w:right w:w="110" w:type="dxa"/>
            </w:tcMar>
          </w:tcPr>
          <w:p w14:paraId="73D5B07E" w14:textId="77777777" w:rsidR="009E6728" w:rsidRPr="00681821" w:rsidRDefault="00000000">
            <w:pPr>
              <w:rPr>
                <w:rFonts w:ascii="Calibri" w:hAnsi="Calibri" w:cs="Calibri"/>
                <w:sz w:val="22"/>
                <w:szCs w:val="22"/>
              </w:rPr>
            </w:pPr>
            <w:r w:rsidRPr="00681821">
              <w:rPr>
                <w:rFonts w:ascii="Calibri" w:eastAsia="Georgia" w:hAnsi="Calibri" w:cs="Calibri"/>
                <w:b/>
                <w:bCs/>
                <w:color w:val="FFFFFF"/>
                <w:sz w:val="22"/>
                <w:szCs w:val="22"/>
              </w:rPr>
              <w:t>Prepared by</w:t>
            </w:r>
          </w:p>
        </w:tc>
        <w:tc>
          <w:tcPr>
            <w:tcW w:w="3560" w:type="dxa"/>
            <w:tcBorders>
              <w:top w:val="single" w:sz="1" w:space="0" w:color="CCCCCC"/>
              <w:left w:val="single" w:sz="1" w:space="0" w:color="CCCCCC"/>
              <w:bottom w:val="single" w:sz="1" w:space="0" w:color="CCCCCC"/>
              <w:right w:val="single" w:sz="1" w:space="0" w:color="CCCCCC"/>
            </w:tcBorders>
            <w:shd w:val="clear" w:color="auto" w:fill="FFF8DC"/>
            <w:tcMar>
              <w:top w:w="70" w:type="dxa"/>
              <w:left w:w="110" w:type="dxa"/>
              <w:bottom w:w="70" w:type="dxa"/>
              <w:right w:w="110" w:type="dxa"/>
            </w:tcMar>
          </w:tcPr>
          <w:p w14:paraId="67E0D379"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 xml:space="preserve">Mr. Dheeraj Motiyani, Senior Business Analyst, </w:t>
            </w:r>
            <w:proofErr w:type="spellStart"/>
            <w:r w:rsidRPr="00681821">
              <w:rPr>
                <w:rFonts w:ascii="Calibri" w:hAnsi="Calibri" w:cs="Calibri"/>
                <w:color w:val="111111"/>
                <w:sz w:val="22"/>
                <w:szCs w:val="22"/>
              </w:rPr>
              <w:t>MPSeDC</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0D2B4E"/>
            <w:tcMar>
              <w:top w:w="70" w:type="dxa"/>
              <w:left w:w="110" w:type="dxa"/>
              <w:bottom w:w="70" w:type="dxa"/>
              <w:right w:w="110" w:type="dxa"/>
            </w:tcMar>
          </w:tcPr>
          <w:p w14:paraId="371DB2FB" w14:textId="77777777" w:rsidR="009E6728" w:rsidRPr="00681821" w:rsidRDefault="00000000">
            <w:pPr>
              <w:rPr>
                <w:rFonts w:ascii="Calibri" w:hAnsi="Calibri" w:cs="Calibri"/>
                <w:sz w:val="22"/>
                <w:szCs w:val="22"/>
              </w:rPr>
            </w:pPr>
            <w:r w:rsidRPr="00681821">
              <w:rPr>
                <w:rFonts w:ascii="Calibri" w:eastAsia="Georgia" w:hAnsi="Calibri" w:cs="Calibri"/>
                <w:b/>
                <w:bCs/>
                <w:color w:val="FFFFFF"/>
                <w:sz w:val="22"/>
                <w:szCs w:val="22"/>
              </w:rPr>
              <w:t>Reviewed by</w:t>
            </w:r>
          </w:p>
        </w:tc>
        <w:tc>
          <w:tcPr>
            <w:tcW w:w="2600" w:type="dxa"/>
            <w:tcBorders>
              <w:top w:val="single" w:sz="1" w:space="0" w:color="CCCCCC"/>
              <w:left w:val="single" w:sz="1" w:space="0" w:color="CCCCCC"/>
              <w:bottom w:val="single" w:sz="1" w:space="0" w:color="CCCCCC"/>
              <w:right w:val="single" w:sz="1" w:space="0" w:color="CCCCCC"/>
            </w:tcBorders>
            <w:shd w:val="clear" w:color="auto" w:fill="FFF8DC"/>
            <w:tcMar>
              <w:top w:w="70" w:type="dxa"/>
              <w:left w:w="110" w:type="dxa"/>
              <w:bottom w:w="70" w:type="dxa"/>
              <w:right w:w="110" w:type="dxa"/>
            </w:tcMar>
          </w:tcPr>
          <w:p w14:paraId="096821DA"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 xml:space="preserve">Mr. Tapan Khandelwal, Senior Project Manager, </w:t>
            </w:r>
            <w:proofErr w:type="spellStart"/>
            <w:r w:rsidRPr="00681821">
              <w:rPr>
                <w:rFonts w:ascii="Calibri" w:hAnsi="Calibri" w:cs="Calibri"/>
                <w:color w:val="111111"/>
                <w:sz w:val="22"/>
                <w:szCs w:val="22"/>
              </w:rPr>
              <w:t>MPSeDC</w:t>
            </w:r>
            <w:proofErr w:type="spellEnd"/>
          </w:p>
        </w:tc>
      </w:tr>
      <w:tr w:rsidR="009E6728" w:rsidRPr="00681821" w14:paraId="3049EFA8" w14:textId="77777777">
        <w:tc>
          <w:tcPr>
            <w:tcW w:w="1600" w:type="dxa"/>
            <w:tcBorders>
              <w:top w:val="single" w:sz="1" w:space="0" w:color="CCCCCC"/>
              <w:left w:val="single" w:sz="1" w:space="0" w:color="CCCCCC"/>
              <w:bottom w:val="single" w:sz="1" w:space="0" w:color="CCCCCC"/>
              <w:right w:val="single" w:sz="1" w:space="0" w:color="CCCCCC"/>
            </w:tcBorders>
            <w:shd w:val="clear" w:color="auto" w:fill="0D2B4E"/>
            <w:tcMar>
              <w:top w:w="70" w:type="dxa"/>
              <w:left w:w="110" w:type="dxa"/>
              <w:bottom w:w="70" w:type="dxa"/>
              <w:right w:w="110" w:type="dxa"/>
            </w:tcMar>
          </w:tcPr>
          <w:p w14:paraId="17787563" w14:textId="77777777" w:rsidR="009E6728" w:rsidRPr="00681821" w:rsidRDefault="00000000">
            <w:pPr>
              <w:rPr>
                <w:rFonts w:ascii="Calibri" w:hAnsi="Calibri" w:cs="Calibri"/>
                <w:sz w:val="22"/>
                <w:szCs w:val="22"/>
              </w:rPr>
            </w:pPr>
            <w:r w:rsidRPr="00681821">
              <w:rPr>
                <w:rFonts w:ascii="Calibri" w:eastAsia="Georgia" w:hAnsi="Calibri" w:cs="Calibri"/>
                <w:b/>
                <w:bCs/>
                <w:color w:val="FFFFFF"/>
                <w:sz w:val="22"/>
                <w:szCs w:val="22"/>
              </w:rPr>
              <w:t>Award(s)</w:t>
            </w:r>
          </w:p>
        </w:tc>
        <w:tc>
          <w:tcPr>
            <w:tcW w:w="7760" w:type="dxa"/>
            <w:gridSpan w:val="3"/>
            <w:tcBorders>
              <w:top w:val="single" w:sz="1" w:space="0" w:color="CCCCCC"/>
              <w:left w:val="single" w:sz="1" w:space="0" w:color="CCCCCC"/>
              <w:bottom w:val="single" w:sz="1" w:space="0" w:color="CCCCCC"/>
              <w:right w:val="single" w:sz="1" w:space="0" w:color="CCCCCC"/>
            </w:tcBorders>
            <w:shd w:val="clear" w:color="auto" w:fill="FDF5DC"/>
            <w:tcMar>
              <w:top w:w="70" w:type="dxa"/>
              <w:left w:w="110" w:type="dxa"/>
              <w:bottom w:w="70" w:type="dxa"/>
              <w:right w:w="110" w:type="dxa"/>
            </w:tcMar>
          </w:tcPr>
          <w:p w14:paraId="033C02F4"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(Primary) Golden Peacock Award for Sustainability (GPAS)   |   (Secondary) Golden Peacock Award for ESG (GPAESG)   |   Golden Peacock GLOBAL Award for Sustainability (GPGAS)   |   Golden Peacock GLOBAL Award for ESG (GPGAESG)</w:t>
            </w:r>
          </w:p>
        </w:tc>
      </w:tr>
    </w:tbl>
    <w:p w14:paraId="1F7BCF89" w14:textId="77777777" w:rsidR="009E6728" w:rsidRDefault="009E6728">
      <w:pPr>
        <w:spacing w:before="200"/>
        <w:rPr>
          <w:rFonts w:ascii="Calibri" w:hAnsi="Calibri" w:cs="Calibri"/>
          <w:sz w:val="22"/>
          <w:szCs w:val="22"/>
        </w:rPr>
      </w:pPr>
    </w:p>
    <w:p w14:paraId="554209A9" w14:textId="77777777" w:rsidR="00681821" w:rsidRPr="00681821" w:rsidRDefault="00681821">
      <w:pPr>
        <w:spacing w:before="200"/>
        <w:rPr>
          <w:rFonts w:ascii="Calibri" w:hAnsi="Calibri" w:cs="Calibri"/>
          <w:sz w:val="22"/>
          <w:szCs w:val="22"/>
        </w:rPr>
      </w:pPr>
    </w:p>
    <w:p w14:paraId="6BD57A88"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1. Executive Summary — Jal Rekha's Sustainability &amp; ESG Case</w:t>
      </w:r>
    </w:p>
    <w:p w14:paraId="77CAA359" w14:textId="77777777" w:rsidR="009E6728" w:rsidRPr="00681821" w:rsidRDefault="009E6728">
      <w:pPr>
        <w:spacing w:before="60"/>
        <w:rPr>
          <w:rFonts w:ascii="Calibri" w:hAnsi="Calibri" w:cs="Calibri"/>
          <w:sz w:val="22"/>
          <w:szCs w:val="22"/>
        </w:rPr>
      </w:pPr>
    </w:p>
    <w:p w14:paraId="33E9758F" w14:textId="77777777" w:rsidR="009E6728" w:rsidRPr="00681821" w:rsidRDefault="00000000">
      <w:pPr>
        <w:spacing w:after="80"/>
        <w:rPr>
          <w:rFonts w:ascii="Calibri" w:hAnsi="Calibri" w:cs="Calibri"/>
          <w:sz w:val="22"/>
          <w:szCs w:val="22"/>
        </w:rPr>
      </w:pPr>
      <w:r w:rsidRPr="00681821">
        <w:rPr>
          <w:rFonts w:ascii="Calibri" w:hAnsi="Calibri" w:cs="Calibri"/>
          <w:color w:val="111111"/>
          <w:sz w:val="22"/>
          <w:szCs w:val="22"/>
        </w:rPr>
        <w:t xml:space="preserve">Jal Rekha is Madhya Pradesh's primary state-wide digital governance platform for piped water supply schemes, implemented by </w:t>
      </w:r>
      <w:proofErr w:type="spellStart"/>
      <w:r w:rsidRPr="00681821">
        <w:rPr>
          <w:rFonts w:ascii="Calibri" w:hAnsi="Calibri" w:cs="Calibri"/>
          <w:color w:val="111111"/>
          <w:sz w:val="22"/>
          <w:szCs w:val="22"/>
        </w:rPr>
        <w:t>MPSeDC</w:t>
      </w:r>
      <w:proofErr w:type="spellEnd"/>
      <w:r w:rsidRPr="00681821">
        <w:rPr>
          <w:rFonts w:ascii="Calibri" w:hAnsi="Calibri" w:cs="Calibri"/>
          <w:color w:val="111111"/>
          <w:sz w:val="22"/>
          <w:szCs w:val="22"/>
        </w:rPr>
        <w:t xml:space="preserve">/MPSSDI under MP Jal Nigam </w:t>
      </w:r>
      <w:proofErr w:type="spellStart"/>
      <w:r w:rsidRPr="00681821">
        <w:rPr>
          <w:rFonts w:ascii="Calibri" w:hAnsi="Calibri" w:cs="Calibri"/>
          <w:color w:val="111111"/>
          <w:sz w:val="22"/>
          <w:szCs w:val="22"/>
        </w:rPr>
        <w:t>Maryadit</w:t>
      </w:r>
      <w:proofErr w:type="spellEnd"/>
      <w:r w:rsidRPr="00681821">
        <w:rPr>
          <w:rFonts w:ascii="Calibri" w:hAnsi="Calibri" w:cs="Calibri"/>
          <w:color w:val="111111"/>
          <w:sz w:val="22"/>
          <w:szCs w:val="22"/>
        </w:rPr>
        <w:t xml:space="preserve"> and the Public Health Engineering Department. It directly serves the Jal Jeevan Mission (Har Ghar Jal) — the Government of India's flagship programme for Functional Household Tap Connections (FHTC) for every rural household — making SDG 6 (Clean Water and Sanitation) not a secondary ESG benefit but the platform's core operating mandate.</w:t>
      </w:r>
    </w:p>
    <w:p w14:paraId="1E4FBBE7" w14:textId="77777777" w:rsidR="009E6728" w:rsidRPr="00681821" w:rsidRDefault="00000000">
      <w:pPr>
        <w:spacing w:after="80"/>
        <w:rPr>
          <w:rFonts w:ascii="Calibri" w:hAnsi="Calibri" w:cs="Calibri"/>
          <w:sz w:val="22"/>
          <w:szCs w:val="22"/>
        </w:rPr>
      </w:pPr>
      <w:r w:rsidRPr="00681821">
        <w:rPr>
          <w:rFonts w:ascii="Calibri" w:hAnsi="Calibri" w:cs="Calibri"/>
          <w:color w:val="111111"/>
          <w:sz w:val="22"/>
          <w:szCs w:val="22"/>
        </w:rPr>
        <w:t>Jal Rekha is a compelling candidate for both the Golden Peacock Award for Sustainability (GPAS) and the Golden Peacock Award for ESG (GPAESG) — and their global variants (GPGAS / GPGAESG) — on the following grounds: its UFW (Unaccounted-for-Water) tracking and daily village-level water supply monitoring directly address water resource efficiency (Environmental); its FHTC AI verification, community participation module (</w:t>
      </w: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xml:space="preserve">), citizen complaint resolution (Jal Samadhan), and open public dashboards advance beneficiary inclusion and citizen </w:t>
      </w:r>
      <w:r w:rsidRPr="00681821">
        <w:rPr>
          <w:rFonts w:ascii="Calibri" w:hAnsi="Calibri" w:cs="Calibri"/>
          <w:color w:val="111111"/>
          <w:sz w:val="22"/>
          <w:szCs w:val="22"/>
        </w:rPr>
        <w:lastRenderedPageBreak/>
        <w:t>transparency (Social); and its 13-stage O&amp;M Billing approval workflow, mandatory construction re-inspection loops, CMMI Level 5 development process, and AI-governed field verification demonstrate audit-grade governance discipline (Governance).</w:t>
      </w:r>
    </w:p>
    <w:p w14:paraId="73E8554C" w14:textId="77777777" w:rsidR="009E6728" w:rsidRPr="00681821" w:rsidRDefault="009E6728">
      <w:pPr>
        <w:spacing w:before="60"/>
        <w:rPr>
          <w:rFonts w:ascii="Calibri" w:hAnsi="Calibri" w:cs="Calibri"/>
          <w:sz w:val="22"/>
          <w:szCs w:val="22"/>
        </w:rPr>
      </w:pPr>
    </w:p>
    <w:p w14:paraId="331D3048"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2. ESG Snapshot — Evidence at a Glance</w:t>
      </w:r>
    </w:p>
    <w:p w14:paraId="01D214C0" w14:textId="77777777" w:rsidR="009E6728" w:rsidRPr="00681821" w:rsidRDefault="009E6728">
      <w:pPr>
        <w:spacing w:before="6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E6728" w:rsidRPr="00681821" w14:paraId="4FFD1CDE" w14:textId="77777777">
        <w:tc>
          <w:tcPr>
            <w:tcW w:w="3120" w:type="dxa"/>
            <w:tcBorders>
              <w:top w:val="single" w:sz="1" w:space="0" w:color="CCCCCC"/>
              <w:left w:val="single" w:sz="1" w:space="0" w:color="CCCCCC"/>
              <w:bottom w:val="single" w:sz="1" w:space="0" w:color="CCCCCC"/>
              <w:right w:val="single" w:sz="1" w:space="0" w:color="CCCCCC"/>
            </w:tcBorders>
            <w:shd w:val="clear" w:color="auto" w:fill="005F6A"/>
            <w:tcMar>
              <w:top w:w="100" w:type="dxa"/>
              <w:left w:w="140" w:type="dxa"/>
              <w:bottom w:w="100" w:type="dxa"/>
              <w:right w:w="140" w:type="dxa"/>
            </w:tcMar>
            <w:vAlign w:val="center"/>
          </w:tcPr>
          <w:p w14:paraId="7372AE03"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E — Environmental</w:t>
            </w:r>
          </w:p>
        </w:tc>
        <w:tc>
          <w:tcPr>
            <w:tcW w:w="31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vAlign w:val="center"/>
          </w:tcPr>
          <w:p w14:paraId="118AA600"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S — Social</w:t>
            </w:r>
          </w:p>
        </w:tc>
        <w:tc>
          <w:tcPr>
            <w:tcW w:w="312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0F0F109D"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 — Governance</w:t>
            </w:r>
          </w:p>
        </w:tc>
      </w:tr>
      <w:tr w:rsidR="009E6728" w:rsidRPr="00681821" w14:paraId="55A37062" w14:textId="77777777">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3C495594"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UFW (Unaccounted-for-Water) tracking via O&amp;M Billing module reduces water loss across all schemes</w:t>
            </w:r>
          </w:p>
          <w:p w14:paraId="6464DBF1"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Dhara meter-reading (Intake/WTP/OHT) monitors actual water volumes daily</w:t>
            </w:r>
          </w:p>
          <w:p w14:paraId="0C5689D7"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SVS Har Ghar Jal dashboard tracks Yes/No/Partial daily supply for 55,000+ villages</w:t>
            </w:r>
          </w:p>
          <w:p w14:paraId="6EF2B60C"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Nirmal module provides early-warning water-quality monitoring (rural + urban: AMRUT, MPUAAD, MPUDC)</w:t>
            </w:r>
          </w:p>
          <w:p w14:paraId="703EEC5B"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Direct SDG 6 contribution: Clean Water and Sanitation</w:t>
            </w:r>
          </w:p>
          <w:p w14:paraId="38FE64F5"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NIC Panchayat Darpan API integration for village-level JJM data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40" w:type="dxa"/>
              <w:bottom w:w="100" w:type="dxa"/>
              <w:right w:w="140" w:type="dxa"/>
            </w:tcMar>
          </w:tcPr>
          <w:p w14:paraId="1273D543"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xml:space="preserve">• </w:t>
            </w:r>
            <w:proofErr w:type="spellStart"/>
            <w:r w:rsidRPr="00681821">
              <w:rPr>
                <w:rFonts w:ascii="Calibri" w:hAnsi="Calibri" w:cs="Calibri"/>
                <w:b/>
                <w:bCs/>
                <w:color w:val="1B5E20"/>
                <w:sz w:val="22"/>
                <w:szCs w:val="22"/>
              </w:rPr>
              <w:t>Sahbhagita</w:t>
            </w:r>
            <w:proofErr w:type="spellEnd"/>
            <w:r w:rsidRPr="00681821">
              <w:rPr>
                <w:rFonts w:ascii="Calibri" w:hAnsi="Calibri" w:cs="Calibri"/>
                <w:b/>
                <w:bCs/>
                <w:color w:val="1B5E20"/>
                <w:sz w:val="22"/>
                <w:szCs w:val="22"/>
              </w:rPr>
              <w:t>: structured community/NGO participation in water-awareness with photo/document evidence and multi-level approval</w:t>
            </w:r>
          </w:p>
          <w:p w14:paraId="00C91F0B"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FHTC (Functional Household Tap Connection) AI verification ensures genuine beneficiary inclusion</w:t>
            </w:r>
          </w:p>
          <w:p w14:paraId="3EB8A936"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Jal Samadhan: citizen complaint registration and SLA-tracked resolution</w:t>
            </w:r>
          </w:p>
          <w:p w14:paraId="4D4049A5"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Public DWSR dashboards: open, no-login water supply transparency for citizens</w:t>
            </w:r>
          </w:p>
          <w:p w14:paraId="365619C1"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SVS Report Dashboard: real-time KPI tiles, Pie Chart, Bar Graph for district/state decision-making</w:t>
            </w:r>
          </w:p>
          <w:p w14:paraId="2026E0A6" w14:textId="77777777" w:rsidR="009E6728" w:rsidRPr="00681821" w:rsidRDefault="00000000">
            <w:pPr>
              <w:spacing w:after="50"/>
              <w:rPr>
                <w:rFonts w:ascii="Calibri" w:hAnsi="Calibri" w:cs="Calibri"/>
                <w:sz w:val="22"/>
                <w:szCs w:val="22"/>
              </w:rPr>
            </w:pPr>
            <w:r w:rsidRPr="00681821">
              <w:rPr>
                <w:rFonts w:ascii="Calibri" w:hAnsi="Calibri" w:cs="Calibri"/>
                <w:b/>
                <w:bCs/>
                <w:color w:val="1B5E20"/>
                <w:sz w:val="22"/>
                <w:szCs w:val="22"/>
              </w:rPr>
              <w:t>• JJM Har Ghar Jal mission coverage: 55,000+ villages, all MP districts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E850A7D"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 Role-based, multi-level approval workflows (Contractor → GM → SQC/TPIA → higher officials → MD)</w:t>
            </w:r>
          </w:p>
          <w:p w14:paraId="20F00A25"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 Mandatory document checks and e-audit trails at every stage</w:t>
            </w:r>
          </w:p>
          <w:p w14:paraId="33C1F1C7"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 O&amp;M Billing: 13-stage financial approval with mandatory pass-order and HO signed letter</w:t>
            </w:r>
          </w:p>
          <w:p w14:paraId="32652BF2"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 Cube/Material Testing: mandatory re-inspection loop — no sign-off without physical verification</w:t>
            </w:r>
          </w:p>
          <w:p w14:paraId="6E53B5C8"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 AI/ML FHTC tap-connection verification (YOLOv11/</w:t>
            </w:r>
            <w:proofErr w:type="spellStart"/>
            <w:r w:rsidRPr="00681821">
              <w:rPr>
                <w:rFonts w:ascii="Calibri" w:hAnsi="Calibri" w:cs="Calibri"/>
                <w:b/>
                <w:bCs/>
                <w:color w:val="0D2B4E"/>
                <w:sz w:val="22"/>
                <w:szCs w:val="22"/>
              </w:rPr>
              <w:t>rfdetr</w:t>
            </w:r>
            <w:proofErr w:type="spellEnd"/>
            <w:r w:rsidRPr="00681821">
              <w:rPr>
                <w:rFonts w:ascii="Calibri" w:hAnsi="Calibri" w:cs="Calibri"/>
                <w:b/>
                <w:bCs/>
                <w:color w:val="0D2B4E"/>
                <w:sz w:val="22"/>
                <w:szCs w:val="22"/>
              </w:rPr>
              <w:t>) eliminates manual photo fraud</w:t>
            </w:r>
          </w:p>
          <w:p w14:paraId="1C71B5D1"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 CMMI Level 5 certified development process</w:t>
            </w:r>
          </w:p>
          <w:p w14:paraId="5158C5A7"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 Monthly MD-level governance reviews (MoM documented)</w:t>
            </w:r>
          </w:p>
        </w:tc>
      </w:tr>
    </w:tbl>
    <w:p w14:paraId="7A1B3BD6" w14:textId="77777777" w:rsidR="009E6728" w:rsidRPr="00681821" w:rsidRDefault="009E6728">
      <w:pPr>
        <w:spacing w:before="160"/>
        <w:rPr>
          <w:rFonts w:ascii="Calibri" w:hAnsi="Calibri" w:cs="Calibri"/>
          <w:sz w:val="22"/>
          <w:szCs w:val="22"/>
        </w:rPr>
      </w:pPr>
    </w:p>
    <w:p w14:paraId="01D37197"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3. Recommended Award Categories</w:t>
      </w:r>
    </w:p>
    <w:p w14:paraId="27B95040" w14:textId="77777777" w:rsidR="009E6728" w:rsidRPr="00681821" w:rsidRDefault="009E6728">
      <w:pPr>
        <w:spacing w:before="6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E6728" w:rsidRPr="00681821" w14:paraId="39609454" w14:textId="77777777">
        <w:tc>
          <w:tcPr>
            <w:tcW w:w="24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0B48690B"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Award</w:t>
            </w:r>
          </w:p>
        </w:tc>
        <w:tc>
          <w:tcPr>
            <w:tcW w:w="69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73F2818B"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Category &amp; Rationale</w:t>
            </w:r>
          </w:p>
        </w:tc>
      </w:tr>
      <w:tr w:rsidR="009E6728" w:rsidRPr="00681821" w14:paraId="3BD9268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9272478"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Golden Peacock Award for Sustainability (GPAS) — PRIMARY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DAEF425"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Strongest fit — Environmental (C.3 Water UFW, C — SDG 6, E4 SVS daily monitoring), Process/Technology (H.6 AI, H.5 Risk Innovation), SDG Reporting (J.1). Multiple sections directly evidenced by operational data.</w:t>
            </w:r>
          </w:p>
        </w:tc>
      </w:tr>
      <w:tr w:rsidR="009E6728" w:rsidRPr="00681821" w14:paraId="0B8B42FB"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4A6EE78"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 xml:space="preserve">Golden Peacock Award for ESG (GPAESG) — </w:t>
            </w:r>
            <w:r w:rsidRPr="00681821">
              <w:rPr>
                <w:rFonts w:ascii="Calibri" w:hAnsi="Calibri" w:cs="Calibri"/>
                <w:b/>
                <w:bCs/>
                <w:color w:val="0D2B4E"/>
                <w:sz w:val="22"/>
                <w:szCs w:val="22"/>
              </w:rPr>
              <w:lastRenderedPageBreak/>
              <w:t>SECONDARY / PARALLEL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172FA2"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lastRenderedPageBreak/>
              <w:t xml:space="preserve">Strong secondary — Environmental Framework (C.2 Climate Risk, C — Water as core function), Social Framework (B.7 </w:t>
            </w: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xml:space="preserve">, B.8 Data Privacy by Design), Governance (13-stage approval, CMMI L5), Reporting </w:t>
            </w:r>
            <w:r w:rsidRPr="00681821">
              <w:rPr>
                <w:rFonts w:ascii="Calibri" w:hAnsi="Calibri" w:cs="Calibri"/>
                <w:color w:val="111111"/>
                <w:sz w:val="22"/>
                <w:szCs w:val="22"/>
              </w:rPr>
              <w:lastRenderedPageBreak/>
              <w:t>(D.1 Open Dashboards, D.5 Audit Trail), ESG Integration (E.1 Operational KPIs).</w:t>
            </w:r>
          </w:p>
        </w:tc>
      </w:tr>
      <w:tr w:rsidR="009E6728" w:rsidRPr="00681821" w14:paraId="57FA6F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8954496"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lastRenderedPageBreak/>
              <w:t>Golden Peacock GLOBAL Award for Sustainability (GPGAS) — OPTIONAL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175318C"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Global submission recommended given the platform's scale (55,000+ villages, all MP districts) and AI innovation (first-of-its-kind FHTC tap detection). Consistent with the MP </w:t>
            </w:r>
            <w:proofErr w:type="spellStart"/>
            <w:r w:rsidRPr="00681821">
              <w:rPr>
                <w:rFonts w:ascii="Calibri" w:hAnsi="Calibri" w:cs="Calibri"/>
                <w:color w:val="111111"/>
                <w:sz w:val="22"/>
                <w:szCs w:val="22"/>
              </w:rPr>
              <w:t>GeoPortal</w:t>
            </w:r>
            <w:proofErr w:type="spellEnd"/>
            <w:r w:rsidRPr="00681821">
              <w:rPr>
                <w:rFonts w:ascii="Calibri" w:hAnsi="Calibri" w:cs="Calibri"/>
                <w:color w:val="111111"/>
                <w:sz w:val="22"/>
                <w:szCs w:val="22"/>
              </w:rPr>
              <w:t xml:space="preserve"> dual Global/National submission pathway.</w:t>
            </w:r>
          </w:p>
        </w:tc>
      </w:tr>
      <w:tr w:rsidR="009E6728" w:rsidRPr="00681821" w14:paraId="6535543E"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3D943859"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Golden Peacock GLOBAL Award for ESG (GPGAESG) — OPTIONAL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4286AB"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Same grounds as GPGAS — global ESG impact through JJM mission, cross-department water quality monitoring, and AI-driven beneficiary verification.</w:t>
            </w:r>
          </w:p>
        </w:tc>
      </w:tr>
    </w:tbl>
    <w:p w14:paraId="49EDADC2" w14:textId="77777777" w:rsidR="009E6728" w:rsidRPr="00681821" w:rsidRDefault="009E6728">
      <w:pPr>
        <w:spacing w:before="160"/>
        <w:rPr>
          <w:rFonts w:ascii="Calibri" w:hAnsi="Calibri" w:cs="Calibri"/>
          <w:sz w:val="22"/>
          <w:szCs w:val="22"/>
        </w:rPr>
      </w:pPr>
    </w:p>
    <w:p w14:paraId="3E2FC025"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4. Why Jal Rekha Is a Strong Fit — Detailed Case</w:t>
      </w:r>
    </w:p>
    <w:p w14:paraId="48EB2F05" w14:textId="77777777" w:rsidR="009E6728" w:rsidRPr="00681821" w:rsidRDefault="009E6728">
      <w:pPr>
        <w:spacing w:before="6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6360"/>
      </w:tblGrid>
      <w:tr w:rsidR="009E6728" w:rsidRPr="00681821" w14:paraId="2EFB1FEA" w14:textId="77777777">
        <w:tc>
          <w:tcPr>
            <w:tcW w:w="8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0177BC0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w:t>
            </w:r>
          </w:p>
        </w:tc>
        <w:tc>
          <w:tcPr>
            <w:tcW w:w="2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6974C030"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Dimension</w:t>
            </w:r>
          </w:p>
        </w:tc>
        <w:tc>
          <w:tcPr>
            <w:tcW w:w="63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3EFDF05E"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Why Jal Rekha is a Strong Candidate</w:t>
            </w:r>
          </w:p>
        </w:tc>
      </w:tr>
      <w:tr w:rsidR="009E6728" w:rsidRPr="00681821" w14:paraId="34B75FE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3041EB5"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E1</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01B09A2"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Water Resource Efficiency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284D3357"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UFW (Unaccounted-for-Water) tracking within O&amp;M Billing directly measures and penalises water loss, creating a financial incentive for contractors to minimise leakage — the only platform in MP that ties billing deductions to UFW data.</w:t>
            </w:r>
          </w:p>
        </w:tc>
      </w:tr>
      <w:tr w:rsidR="009E6728" w:rsidRPr="00681821" w14:paraId="7FCB9BAB" w14:textId="77777777">
        <w:tc>
          <w:tcPr>
            <w:tcW w:w="8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79E629B4"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E2</w:t>
            </w:r>
          </w:p>
        </w:tc>
        <w:tc>
          <w:tcPr>
            <w:tcW w:w="2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0DDADEF9"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Water Quality &amp; Public Health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A89E3F"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Nirmal module tracks drinking-water quality testing across rural and urban schemes (AMRUT/MPUAAD/MPUDC) in a unified platform, giving public-health authorities an early-warning view on contamination risk that did not exist before Jal Rekha.</w:t>
            </w:r>
          </w:p>
        </w:tc>
      </w:tr>
      <w:tr w:rsidR="009E6728" w:rsidRPr="00681821" w14:paraId="75B46FC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11FE595"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E3</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FB765B5"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SDG 6 Alignment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C5D621"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The platform is the primary digital infrastructure for Madhya Pradesh's Jal Jeevan Mission (Har Ghar Jal Yojana) — SDG 6 (Clean Water and Sanitation) is not a secondary benefit but the platform's core operating mandate.</w:t>
            </w:r>
          </w:p>
        </w:tc>
      </w:tr>
      <w:tr w:rsidR="009E6728" w:rsidRPr="00681821" w14:paraId="3A953026" w14:textId="77777777">
        <w:tc>
          <w:tcPr>
            <w:tcW w:w="8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63008B2"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E4</w:t>
            </w:r>
          </w:p>
        </w:tc>
        <w:tc>
          <w:tcPr>
            <w:tcW w:w="2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BCA5687"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Daily Supply Monitoring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6645EC"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SVS Har Ghar Jal module captures Yes/No/Partial daily water supply status with reasons at village level across 55,000+ villages — providing the state's only granular, structured dataset on actual water supply performance.</w:t>
            </w:r>
          </w:p>
        </w:tc>
      </w:tr>
      <w:tr w:rsidR="009E6728" w:rsidRPr="00681821" w14:paraId="3775716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864EB3D"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S1</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22A136F0"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Citizen-Centric Transparency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DC55C5F"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Public DWSR (Daily Water Supply Report) dashboards are open, no-login, real-time — any citizen can verify water supply status for their village, GP, block, or district without any access barrier.</w:t>
            </w:r>
          </w:p>
        </w:tc>
      </w:tr>
      <w:tr w:rsidR="009E6728" w:rsidRPr="00681821" w14:paraId="3CF7CEC8" w14:textId="77777777">
        <w:tc>
          <w:tcPr>
            <w:tcW w:w="8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F8CE599"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S2</w:t>
            </w:r>
          </w:p>
        </w:tc>
        <w:tc>
          <w:tcPr>
            <w:tcW w:w="2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4B50DC3F"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Beneficiary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1E4988"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AI-powered FHTC tap-connection verification (YOLOv11/</w:t>
            </w:r>
            <w:proofErr w:type="spellStart"/>
            <w:r w:rsidRPr="00681821">
              <w:rPr>
                <w:rFonts w:ascii="Calibri" w:hAnsi="Calibri" w:cs="Calibri"/>
                <w:color w:val="111111"/>
                <w:sz w:val="22"/>
                <w:szCs w:val="22"/>
              </w:rPr>
              <w:t>rfdetr</w:t>
            </w:r>
            <w:proofErr w:type="spellEnd"/>
            <w:r w:rsidRPr="00681821">
              <w:rPr>
                <w:rFonts w:ascii="Calibri" w:hAnsi="Calibri" w:cs="Calibri"/>
                <w:color w:val="111111"/>
                <w:sz w:val="22"/>
                <w:szCs w:val="22"/>
              </w:rPr>
              <w:t xml:space="preserve"> computer vision) ensures that only genuine functional household tap connections are counted in Jal Jeevan Mission saturation figures, protecting programme integrity and ensuring benefits reach real beneficiaries.</w:t>
            </w:r>
          </w:p>
        </w:tc>
      </w:tr>
      <w:tr w:rsidR="009E6728" w:rsidRPr="00681821" w14:paraId="2D8120E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9C4A98C"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S3</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58A91FFF"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Community Participation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B3D660E" w14:textId="77777777" w:rsidR="009E6728" w:rsidRPr="00681821" w:rsidRDefault="00000000">
            <w:pPr>
              <w:rPr>
                <w:rFonts w:ascii="Calibri" w:hAnsi="Calibri" w:cs="Calibri"/>
                <w:sz w:val="22"/>
                <w:szCs w:val="22"/>
              </w:rPr>
            </w:pP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xml:space="preserve"> formalises community/NGO engagement in rural water-awareness activities: structured activity tracking, </w:t>
            </w:r>
            <w:r w:rsidRPr="00681821">
              <w:rPr>
                <w:rFonts w:ascii="Calibri" w:hAnsi="Calibri" w:cs="Calibri"/>
                <w:color w:val="111111"/>
                <w:sz w:val="22"/>
                <w:szCs w:val="22"/>
              </w:rPr>
              <w:lastRenderedPageBreak/>
              <w:t>photo/video/document evidence upload, ISA-level approval, and abstract report generation — all digitally governed.</w:t>
            </w:r>
          </w:p>
        </w:tc>
      </w:tr>
      <w:tr w:rsidR="009E6728" w:rsidRPr="00681821" w14:paraId="0F054628" w14:textId="77777777">
        <w:tc>
          <w:tcPr>
            <w:tcW w:w="8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4DD8BEB2"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lastRenderedPageBreak/>
              <w:t>S4</w:t>
            </w:r>
          </w:p>
        </w:tc>
        <w:tc>
          <w:tcPr>
            <w:tcW w:w="2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0F189F04"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Grievance Redressal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E990298"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Jal Samadhan complaint module provides citizens with a structured, SLA-tracked complaint registration and resolution channel, with escalation workflow to PIU-level officials.</w:t>
            </w:r>
          </w:p>
        </w:tc>
      </w:tr>
      <w:tr w:rsidR="009E6728" w:rsidRPr="00681821" w14:paraId="236BF6FF"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58612434"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G1</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21B6B729"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Structured Approval Governance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99D5251"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O&amp;M Billing follows a 13-stage approval workflow (Contractor → GM PIU → TL/SQC → GM PIU → GM O&amp;M → DGM → TL PMC → GM O&amp;M Pass Order → CGM → PD → CA → CFO → MD Final Approval) — each stage with mandatory document upload, remark, and audit trail.</w:t>
            </w:r>
          </w:p>
        </w:tc>
      </w:tr>
      <w:tr w:rsidR="009E6728" w:rsidRPr="00681821" w14:paraId="513BFF01" w14:textId="77777777">
        <w:tc>
          <w:tcPr>
            <w:tcW w:w="8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7FEF5AFE"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G2</w:t>
            </w:r>
          </w:p>
        </w:tc>
        <w:tc>
          <w:tcPr>
            <w:tcW w:w="2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C82B19F"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Fraud Prevention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E4D13D"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Cube Testing and Material Testing enforce a mandatory two-cycle re-inspection loop before any construction-quality sign-off. Physical re-verification cannot be bypassed digitally — eliminating the possibility of approvals without field confirmation.</w:t>
            </w:r>
          </w:p>
        </w:tc>
      </w:tr>
      <w:tr w:rsidR="009E6728" w:rsidRPr="00681821" w14:paraId="578CC93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5B2AE25"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G3</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32CF80AF"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AI-Governance Integration</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D8878BD"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 xml:space="preserve">YOLO-based computer-vision AI (YOLOv11 and </w:t>
            </w:r>
            <w:proofErr w:type="spellStart"/>
            <w:r w:rsidRPr="00681821">
              <w:rPr>
                <w:rFonts w:ascii="Calibri" w:hAnsi="Calibri" w:cs="Calibri"/>
                <w:color w:val="111111"/>
                <w:sz w:val="22"/>
                <w:szCs w:val="22"/>
              </w:rPr>
              <w:t>rfdetr</w:t>
            </w:r>
            <w:proofErr w:type="spellEnd"/>
            <w:r w:rsidRPr="00681821">
              <w:rPr>
                <w:rFonts w:ascii="Calibri" w:hAnsi="Calibri" w:cs="Calibri"/>
                <w:color w:val="111111"/>
                <w:sz w:val="22"/>
                <w:szCs w:val="22"/>
              </w:rPr>
              <w:t>) automatically verifies that field photos show a genuine tap connection with a real person present — replacing manual, error-prone photo review with an auditable, tamper-resistant layer.</w:t>
            </w:r>
          </w:p>
        </w:tc>
      </w:tr>
      <w:tr w:rsidR="009E6728" w:rsidRPr="00681821" w14:paraId="2EE53B72" w14:textId="77777777">
        <w:tc>
          <w:tcPr>
            <w:tcW w:w="8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4F104C06"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G4</w:t>
            </w:r>
          </w:p>
        </w:tc>
        <w:tc>
          <w:tcPr>
            <w:tcW w:w="2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3F41647C"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Process Maturity — CMMI L5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B8CEE0"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Jal Rekha is developed under a CMMI Level 5 certified process — the highest process maturity level globally. Cycle-wise data collection (Productivity, Cycle Time, DRE), RCA 5-Why Analysis, and formal Decision Analysis Reports (DAR) are standard practice.</w:t>
            </w:r>
          </w:p>
        </w:tc>
      </w:tr>
      <w:tr w:rsidR="009E6728" w:rsidRPr="00681821" w14:paraId="12BAE64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2B26569D"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G5</w:t>
            </w:r>
          </w:p>
        </w:tc>
        <w:tc>
          <w:tcPr>
            <w:tcW w:w="2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8D58279"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Financial Accountability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1FB5A10"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Mandatory penalty logic for contractor underperformance (manpower, vehicles, response time, residual pressure, complaint resolution SLA) and UFW deductions in O&amp;M Billing create a financially accountable, performance-linked payment system.</w:t>
            </w:r>
          </w:p>
        </w:tc>
      </w:tr>
      <w:tr w:rsidR="009E6728" w:rsidRPr="00681821" w14:paraId="630DE8F3" w14:textId="77777777">
        <w:tc>
          <w:tcPr>
            <w:tcW w:w="8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7207900" w14:textId="77777777" w:rsidR="009E6728" w:rsidRPr="00681821" w:rsidRDefault="00000000">
            <w:pPr>
              <w:jc w:val="center"/>
              <w:rPr>
                <w:rFonts w:ascii="Calibri" w:hAnsi="Calibri" w:cs="Calibri"/>
                <w:sz w:val="22"/>
                <w:szCs w:val="22"/>
              </w:rPr>
            </w:pPr>
            <w:r w:rsidRPr="00681821">
              <w:rPr>
                <w:rFonts w:ascii="Calibri" w:hAnsi="Calibri" w:cs="Calibri"/>
                <w:b/>
                <w:bCs/>
                <w:color w:val="B8860B"/>
                <w:sz w:val="22"/>
                <w:szCs w:val="22"/>
              </w:rPr>
              <w:t>G6</w:t>
            </w:r>
          </w:p>
        </w:tc>
        <w:tc>
          <w:tcPr>
            <w:tcW w:w="2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3CEB49E"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Master-Data Governance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F3CD0A" w14:textId="77777777" w:rsidR="009E6728" w:rsidRPr="00681821" w:rsidRDefault="00000000">
            <w:pPr>
              <w:rPr>
                <w:rFonts w:ascii="Calibri" w:hAnsi="Calibri" w:cs="Calibri"/>
                <w:sz w:val="22"/>
                <w:szCs w:val="22"/>
              </w:rPr>
            </w:pPr>
            <w:r w:rsidRPr="00681821">
              <w:rPr>
                <w:rFonts w:ascii="Calibri" w:hAnsi="Calibri" w:cs="Calibri"/>
                <w:color w:val="111111"/>
                <w:sz w:val="22"/>
                <w:szCs w:val="22"/>
              </w:rPr>
              <w:t>Scheme, Village, OHT, and Pipeline master data are locked once linked to live transactions — preventing post-hoc master data manipulation and ensuring downstream reporting integrity across Dhara, O&amp;M Billing, Asset Mapping, and FHTC modules.</w:t>
            </w:r>
          </w:p>
        </w:tc>
      </w:tr>
    </w:tbl>
    <w:p w14:paraId="27AE96D5" w14:textId="77777777" w:rsidR="009E6728" w:rsidRPr="00681821" w:rsidRDefault="009E6728">
      <w:pPr>
        <w:spacing w:before="160"/>
        <w:rPr>
          <w:rFonts w:ascii="Calibri" w:hAnsi="Calibri" w:cs="Calibri"/>
          <w:sz w:val="22"/>
          <w:szCs w:val="22"/>
        </w:rPr>
      </w:pPr>
    </w:p>
    <w:p w14:paraId="6FDD3A13"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5. Annexure 2 — Business Overview (4–5 Pages)</w:t>
      </w:r>
    </w:p>
    <w:p w14:paraId="1509DCCC" w14:textId="77777777" w:rsidR="009E6728" w:rsidRPr="00681821" w:rsidRDefault="009E6728">
      <w:pPr>
        <w:spacing w:before="6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E6728" w:rsidRPr="00681821" w14:paraId="145D1467" w14:textId="77777777">
        <w:tc>
          <w:tcPr>
            <w:tcW w:w="24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3668352F"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6CD12F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Details</w:t>
            </w:r>
          </w:p>
        </w:tc>
      </w:tr>
      <w:tr w:rsidR="009E6728" w:rsidRPr="00681821" w14:paraId="1D5C90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51E46D43"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Organization (Applicant)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34085DF"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MP Jal Nigam </w:t>
            </w:r>
            <w:proofErr w:type="spellStart"/>
            <w:r w:rsidRPr="00681821">
              <w:rPr>
                <w:rFonts w:ascii="Calibri" w:hAnsi="Calibri" w:cs="Calibri"/>
                <w:color w:val="111111"/>
                <w:sz w:val="22"/>
                <w:szCs w:val="22"/>
              </w:rPr>
              <w:t>Maryadit</w:t>
            </w:r>
            <w:proofErr w:type="spellEnd"/>
            <w:r w:rsidRPr="00681821">
              <w:rPr>
                <w:rFonts w:ascii="Calibri" w:hAnsi="Calibri" w:cs="Calibri"/>
                <w:color w:val="111111"/>
                <w:sz w:val="22"/>
                <w:szCs w:val="22"/>
              </w:rPr>
              <w:t xml:space="preserve"> (under PHED, Govt. of Madhya Pradesh) / </w:t>
            </w:r>
            <w:proofErr w:type="spellStart"/>
            <w:r w:rsidRPr="00681821">
              <w:rPr>
                <w:rFonts w:ascii="Calibri" w:hAnsi="Calibri" w:cs="Calibri"/>
                <w:color w:val="111111"/>
                <w:sz w:val="22"/>
                <w:szCs w:val="22"/>
              </w:rPr>
              <w:t>MPSeDC</w:t>
            </w:r>
            <w:proofErr w:type="spellEnd"/>
            <w:r w:rsidRPr="00681821">
              <w:rPr>
                <w:rFonts w:ascii="Calibri" w:hAnsi="Calibri" w:cs="Calibri"/>
                <w:color w:val="111111"/>
                <w:sz w:val="22"/>
                <w:szCs w:val="22"/>
              </w:rPr>
              <w:t xml:space="preserve"> (implementing agency) — to be confirmed as legal applicant entity. Jal Rekha is the flagship digital governance platform of this organization.</w:t>
            </w:r>
          </w:p>
        </w:tc>
      </w:tr>
      <w:tr w:rsidR="009E6728" w:rsidRPr="00681821" w14:paraId="07F99A10"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031BC750"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Project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B9F505"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Jal Rekha — Digital Water Supply Governance &amp; Monitoring Platform</w:t>
            </w:r>
          </w:p>
        </w:tc>
      </w:tr>
      <w:tr w:rsidR="009E6728" w:rsidRPr="00681821" w14:paraId="7B66FBB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D9808BE"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lastRenderedPageBreak/>
              <w:t>Sector / Domain</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C942BF4"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Public Health Engineering / Urban &amp; Rural Water Supply / E-Governance / Digital Public Infrastructure</w:t>
            </w:r>
          </w:p>
        </w:tc>
      </w:tr>
      <w:tr w:rsidR="009E6728" w:rsidRPr="00681821" w14:paraId="74259D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38D29D27"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Geographic 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E3B1B8"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State-wide across Madhya Pradesh — all districts, blocks, Gram Panchayats; rural piped water supply schemes, urban water/sanitation (AMRUT, MPUAAD, MPUDC programs); administered from Bhopal.</w:t>
            </w:r>
          </w:p>
        </w:tc>
      </w:tr>
      <w:tr w:rsidR="009E6728" w:rsidRPr="00681821" w14:paraId="7B47EF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62159101"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Beneficiaries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068B07F"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55,000+ villages across Madhya Pradesh; Jal Jeevan Mission FHTC beneficiaries (rural households); urban water/sanitation scheme beneficiaries; PHED/Jal Nigam field staff; contractors/implementing firms; general public via open dashboards.</w:t>
            </w:r>
          </w:p>
        </w:tc>
      </w:tr>
      <w:tr w:rsidR="009E6728" w:rsidRPr="00681821" w14:paraId="242E5A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1CA220B"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Mission Alignment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88C65B"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Jal Jeevan Mission (JJM) — Har Ghar Jal (Functional Household Tap Connections, SDG 6); Swachh Bharat Mission; AMRUT 2.0; Madhya Pradesh state water-supply governance mandate.</w:t>
            </w:r>
          </w:p>
        </w:tc>
      </w:tr>
      <w:tr w:rsidR="009E6728" w:rsidRPr="00681821" w14:paraId="4C1884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21410854"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Platform Architecture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6E9380F"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Web portal (multi-role, role-based access), Mobile application (Android — FE, Contractor), REST APIs (NIC Panchayat Darpan, Jal Nigam department systems), AI/ML layer (YOLOv11/</w:t>
            </w:r>
            <w:proofErr w:type="spellStart"/>
            <w:r w:rsidRPr="00681821">
              <w:rPr>
                <w:rFonts w:ascii="Calibri" w:hAnsi="Calibri" w:cs="Calibri"/>
                <w:color w:val="111111"/>
                <w:sz w:val="22"/>
                <w:szCs w:val="22"/>
              </w:rPr>
              <w:t>rfdetr</w:t>
            </w:r>
            <w:proofErr w:type="spellEnd"/>
            <w:r w:rsidRPr="00681821">
              <w:rPr>
                <w:rFonts w:ascii="Calibri" w:hAnsi="Calibri" w:cs="Calibri"/>
                <w:color w:val="111111"/>
                <w:sz w:val="22"/>
                <w:szCs w:val="22"/>
              </w:rPr>
              <w:t xml:space="preserve"> FHTC verification), Public dashboards (no-login DWSR reports).</w:t>
            </w:r>
          </w:p>
        </w:tc>
      </w:tr>
      <w:tr w:rsidR="009E6728" w:rsidRPr="00681821" w14:paraId="0F7775F5"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639ED472"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Key Modules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4905FC" w14:textId="77777777" w:rsidR="009E6728" w:rsidRPr="00681821" w:rsidRDefault="00000000">
            <w:pPr>
              <w:spacing w:after="50"/>
              <w:rPr>
                <w:rFonts w:ascii="Calibri" w:hAnsi="Calibri" w:cs="Calibri"/>
                <w:sz w:val="22"/>
                <w:szCs w:val="22"/>
              </w:rPr>
            </w:pPr>
            <w:proofErr w:type="spellStart"/>
            <w:r w:rsidRPr="00681821">
              <w:rPr>
                <w:rFonts w:ascii="Calibri" w:hAnsi="Calibri" w:cs="Calibri"/>
                <w:color w:val="111111"/>
                <w:sz w:val="22"/>
                <w:szCs w:val="22"/>
              </w:rPr>
              <w:t>Anusharavan</w:t>
            </w:r>
            <w:proofErr w:type="spellEnd"/>
            <w:r w:rsidRPr="00681821">
              <w:rPr>
                <w:rFonts w:ascii="Calibri" w:hAnsi="Calibri" w:cs="Calibri"/>
                <w:color w:val="111111"/>
                <w:sz w:val="22"/>
                <w:szCs w:val="22"/>
              </w:rPr>
              <w:t xml:space="preserve"> (RFI — Request for Inspection), Dhara (Meter Reading &amp; Water Supply), Nirmal (Water Quality), SVS – Har Ghar Jal (Daily Water Supply Monitoring), FHTC (Functional Household Tap Connections), O&amp;M Billing (Operations &amp; Maintenance Billing), </w:t>
            </w: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xml:space="preserve"> (Community Participation), Cube Testing, Material Testing, Asset Mapping, Sopan, </w:t>
            </w:r>
            <w:proofErr w:type="spellStart"/>
            <w:r w:rsidRPr="00681821">
              <w:rPr>
                <w:rFonts w:ascii="Calibri" w:hAnsi="Calibri" w:cs="Calibri"/>
                <w:color w:val="111111"/>
                <w:sz w:val="22"/>
                <w:szCs w:val="22"/>
              </w:rPr>
              <w:t>Parinam</w:t>
            </w:r>
            <w:proofErr w:type="spellEnd"/>
            <w:r w:rsidRPr="00681821">
              <w:rPr>
                <w:rFonts w:ascii="Calibri" w:hAnsi="Calibri" w:cs="Calibri"/>
                <w:color w:val="111111"/>
                <w:sz w:val="22"/>
                <w:szCs w:val="22"/>
              </w:rPr>
              <w:t xml:space="preserve">/HSC, Master Data, </w:t>
            </w:r>
            <w:proofErr w:type="spellStart"/>
            <w:r w:rsidRPr="00681821">
              <w:rPr>
                <w:rFonts w:ascii="Calibri" w:hAnsi="Calibri" w:cs="Calibri"/>
                <w:color w:val="111111"/>
                <w:sz w:val="22"/>
                <w:szCs w:val="22"/>
              </w:rPr>
              <w:t>Vistrit</w:t>
            </w:r>
            <w:proofErr w:type="spellEnd"/>
            <w:r w:rsidRPr="00681821">
              <w:rPr>
                <w:rFonts w:ascii="Calibri" w:hAnsi="Calibri" w:cs="Calibri"/>
                <w:color w:val="111111"/>
                <w:sz w:val="22"/>
                <w:szCs w:val="22"/>
              </w:rPr>
              <w:t>, Jal Samadhan, User &amp; Role Management, AI Module (FHTC Tap Detection), SVS DWSR Dashboard.</w:t>
            </w:r>
          </w:p>
        </w:tc>
      </w:tr>
      <w:tr w:rsidR="009E6728" w:rsidRPr="00681821" w14:paraId="5E7460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4F4F092"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Development Process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3BE168F"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CMMI Level 5 certified — highest global process maturity standard; fortnightly sprint delivery; monthly MD-level governance reviews; formal DAR (Decision Analysis Reports) for major architectural decisions; PSR (Project Status Reports) with Risk Management.</w:t>
            </w:r>
          </w:p>
        </w:tc>
      </w:tr>
      <w:tr w:rsidR="009E6728" w:rsidRPr="00681821" w14:paraId="79AB19CF"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3199FA9C"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Implementing Agency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2FF3DB" w14:textId="77777777" w:rsidR="009E6728" w:rsidRPr="00681821" w:rsidRDefault="00000000">
            <w:pPr>
              <w:spacing w:after="50"/>
              <w:rPr>
                <w:rFonts w:ascii="Calibri" w:hAnsi="Calibri" w:cs="Calibri"/>
                <w:sz w:val="22"/>
                <w:szCs w:val="22"/>
              </w:rPr>
            </w:pPr>
            <w:proofErr w:type="spellStart"/>
            <w:r w:rsidRPr="00681821">
              <w:rPr>
                <w:rFonts w:ascii="Calibri" w:hAnsi="Calibri" w:cs="Calibri"/>
                <w:color w:val="111111"/>
                <w:sz w:val="22"/>
                <w:szCs w:val="22"/>
              </w:rPr>
              <w:t>MPSeDC</w:t>
            </w:r>
            <w:proofErr w:type="spellEnd"/>
            <w:r w:rsidRPr="00681821">
              <w:rPr>
                <w:rFonts w:ascii="Calibri" w:hAnsi="Calibri" w:cs="Calibri"/>
                <w:color w:val="111111"/>
                <w:sz w:val="22"/>
                <w:szCs w:val="22"/>
              </w:rPr>
              <w:t xml:space="preserve"> / MPSSDI (GIS Division), Bhopal — State IT Centre, 47-A </w:t>
            </w:r>
            <w:proofErr w:type="spellStart"/>
            <w:r w:rsidRPr="00681821">
              <w:rPr>
                <w:rFonts w:ascii="Calibri" w:hAnsi="Calibri" w:cs="Calibri"/>
                <w:color w:val="111111"/>
                <w:sz w:val="22"/>
                <w:szCs w:val="22"/>
              </w:rPr>
              <w:t>Arera</w:t>
            </w:r>
            <w:proofErr w:type="spellEnd"/>
            <w:r w:rsidRPr="00681821">
              <w:rPr>
                <w:rFonts w:ascii="Calibri" w:hAnsi="Calibri" w:cs="Calibri"/>
                <w:color w:val="111111"/>
                <w:sz w:val="22"/>
                <w:szCs w:val="22"/>
              </w:rPr>
              <w:t xml:space="preserve"> Hills, Bhopal 462011</w:t>
            </w:r>
          </w:p>
        </w:tc>
      </w:tr>
      <w:tr w:rsidR="009E6728" w:rsidRPr="00681821" w14:paraId="0B0BBC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340A00C7"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Award Applied For</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ECC9F64"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(Primary) Golden Peacock Award for Sustainability (GPAS) | (Secondary) Golden Peacock Award for ESG (GPAESG) | Global variants: GPGAS, GPGAESG</w:t>
            </w:r>
          </w:p>
        </w:tc>
      </w:tr>
      <w:tr w:rsidR="009E6728" w:rsidRPr="00681821" w14:paraId="5D1F7F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5C387C28" w14:textId="77777777" w:rsidR="009E6728" w:rsidRPr="00681821" w:rsidRDefault="00000000">
            <w:pPr>
              <w:rPr>
                <w:rFonts w:ascii="Calibri" w:hAnsi="Calibri" w:cs="Calibri"/>
                <w:sz w:val="22"/>
                <w:szCs w:val="22"/>
              </w:rPr>
            </w:pPr>
            <w:r w:rsidRPr="00681821">
              <w:rPr>
                <w:rFonts w:ascii="Calibri" w:hAnsi="Calibri" w:cs="Calibri"/>
                <w:b/>
                <w:bCs/>
                <w:color w:val="0D2B4E"/>
                <w:sz w:val="22"/>
                <w:szCs w:val="22"/>
              </w:rPr>
              <w:t>Application Year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FFE5CA"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2026 (Guidelines-cum-Application Form, Issue 2026)</w:t>
            </w:r>
          </w:p>
        </w:tc>
      </w:tr>
    </w:tbl>
    <w:p w14:paraId="1C73DA77" w14:textId="77777777" w:rsidR="009E6728" w:rsidRPr="00681821" w:rsidRDefault="009E6728">
      <w:pPr>
        <w:spacing w:before="160"/>
        <w:rPr>
          <w:rFonts w:ascii="Calibri" w:hAnsi="Calibri" w:cs="Calibri"/>
          <w:sz w:val="22"/>
          <w:szCs w:val="22"/>
        </w:rPr>
      </w:pPr>
    </w:p>
    <w:p w14:paraId="2390BD2E"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6. Annexure 3 — Self-Appraisal: GPAS Sections</w:t>
      </w:r>
    </w:p>
    <w:p w14:paraId="02B65F29"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Answered section-by-section against the 2026 Guidelines, emphasising strongest evidence</w:t>
      </w:r>
    </w:p>
    <w:p w14:paraId="296D6C61" w14:textId="77777777" w:rsidR="009E6728" w:rsidRPr="00681821" w:rsidRDefault="009E6728">
      <w:pPr>
        <w:spacing w:before="60"/>
        <w:rPr>
          <w:rFonts w:ascii="Calibri" w:hAnsi="Calibri" w:cs="Calibri"/>
          <w:sz w:val="22"/>
          <w:szCs w:val="22"/>
        </w:rPr>
      </w:pPr>
    </w:p>
    <w:p w14:paraId="65E39FD4"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lastRenderedPageBreak/>
        <w:t>GPAS — Section A: Corporate Governance</w:t>
      </w:r>
    </w:p>
    <w:p w14:paraId="687769A5"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Role hierarchy, stakeholder engagement, risk management</w:t>
      </w:r>
    </w:p>
    <w:p w14:paraId="481CD2C8"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6776D1F7"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14CF1574"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GPAS Section A — Corporate Governance</w:t>
            </w:r>
          </w:p>
        </w:tc>
      </w:tr>
      <w:tr w:rsidR="009E6728" w:rsidRPr="00681821" w14:paraId="3A3296B2" w14:textId="77777777">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461CDDE"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47238F0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7F77360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1CC0960"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A.1–A.2 Locations &amp; Markets Served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B907221"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Statewide across Madhya Pradesh — rural piped water supply schemes (all 55+ districts) and urban water/sanitation programs (AMRUT, MPUAAD, MPUDC). Beneficiaries: rural and urban households, PHED/Jal Nigam field staff, contractors, and the general public via open dashboards. Government-to-citizen digital service under Jal Jeevan Mission.</w:t>
            </w:r>
          </w:p>
        </w:tc>
      </w:tr>
      <w:tr w:rsidR="009E6728" w:rsidRPr="00681821" w14:paraId="4D32B938" w14:textId="77777777">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B61774D"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A.3 Governance Structure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2A9214"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Multi-level role hierarchy: Contractor → GM PIU → TL/SQC → GM O&amp;M → DGM → TL PMC → CGM → PD → CA → CFO → MD Final Approval. Monthly MD-level project review meetings (documented MoM). Formal DAR and PSR processes for decision governance. CMMI Level 5 process framework.</w:t>
            </w:r>
          </w:p>
        </w:tc>
      </w:tr>
      <w:tr w:rsidR="009E6728" w:rsidRPr="00681821" w14:paraId="5936A1C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2DF87CC6"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A.7 Stakeholder Engagement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0D79332" w14:textId="1D03C159" w:rsidR="009E6728" w:rsidRPr="00681821" w:rsidRDefault="00000000">
            <w:pPr>
              <w:spacing w:after="50"/>
              <w:rPr>
                <w:rFonts w:ascii="Calibri" w:hAnsi="Calibri" w:cs="Calibri"/>
                <w:sz w:val="22"/>
                <w:szCs w:val="22"/>
              </w:rPr>
            </w:pP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xml:space="preserve"> module formalises structured community/NGO engagement (activity tracking, photo evidence, ISA approval). Monthly MD-level reviews with PHED/Jal Nigam MD, Head MPSSDI, PM, and BA (documented MoM — monthly cadence, </w:t>
            </w:r>
            <w:r w:rsidR="00681821">
              <w:rPr>
                <w:rFonts w:ascii="Calibri" w:hAnsi="Calibri" w:cs="Calibri"/>
                <w:color w:val="111111"/>
                <w:sz w:val="22"/>
                <w:szCs w:val="22"/>
              </w:rPr>
              <w:t>2025 till</w:t>
            </w:r>
            <w:r w:rsidRPr="00681821">
              <w:rPr>
                <w:rFonts w:ascii="Calibri" w:hAnsi="Calibri" w:cs="Calibri"/>
                <w:color w:val="111111"/>
                <w:sz w:val="22"/>
                <w:szCs w:val="22"/>
              </w:rPr>
              <w:t xml:space="preserve"> 2026 meetings evidenced). Contractor/firm engagement via structured billing approval workflow.</w:t>
            </w:r>
          </w:p>
        </w:tc>
      </w:tr>
      <w:tr w:rsidR="009E6728" w:rsidRPr="00681821" w14:paraId="4D088F8A" w14:textId="77777777">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FE94D79"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A.12 Enterprise Risk 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4DF04D"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Mandatory document checks at every approval stage, re-inspection loops (Cube/Material Testing), master-data locking post-linkage, AI-based FHTC verification, and monthly risk registers in PSRs constitute an operational risk management framework. Formal ERM policy statement to be supplied by applicant organisation.</w:t>
            </w:r>
          </w:p>
        </w:tc>
      </w:tr>
    </w:tbl>
    <w:p w14:paraId="5C778B9B" w14:textId="77777777" w:rsidR="009E6728" w:rsidRPr="00681821" w:rsidRDefault="009E6728">
      <w:pPr>
        <w:spacing w:before="120"/>
        <w:rPr>
          <w:rFonts w:ascii="Calibri" w:hAnsi="Calibri" w:cs="Calibri"/>
          <w:sz w:val="22"/>
          <w:szCs w:val="22"/>
        </w:rPr>
      </w:pPr>
    </w:p>
    <w:p w14:paraId="7133976A"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GPAS — Section C: Environmental Concerns</w:t>
      </w:r>
    </w:p>
    <w:p w14:paraId="6344C31A"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Water resource efficiency, UFW, quality, SDG 6</w:t>
      </w:r>
    </w:p>
    <w:p w14:paraId="5FFDB78D"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3B7A18A5"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6064"/>
            <w:tcMar>
              <w:top w:w="100" w:type="dxa"/>
              <w:left w:w="140" w:type="dxa"/>
              <w:bottom w:w="100" w:type="dxa"/>
              <w:right w:w="140" w:type="dxa"/>
            </w:tcMar>
            <w:vAlign w:val="center"/>
          </w:tcPr>
          <w:p w14:paraId="237786C6"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GPAS Section C — Environmental Concerns (Water Focus)</w:t>
            </w:r>
          </w:p>
        </w:tc>
      </w:tr>
      <w:tr w:rsidR="009E6728" w:rsidRPr="00681821" w14:paraId="3577BD0C" w14:textId="77777777">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6104D0E"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4A68E721"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1AD36E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D9C49F4"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C.3 Water: consumption, UFW, recycled/reused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FCDF240"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STRONGLY EVIDENCED. Dhara module standardises meter-reading (Intake/WTP/OHT meters) across web and mobile with GM-level approval and audit trail. O&amp;M Billing's UFW (Unaccounted-for-Water) Report tracks water loss per scheme — the UFW figure is directly integrated into contractor billing deductions, creating a financial incentive to minimise leakage. </w:t>
            </w:r>
            <w:r w:rsidRPr="00681821">
              <w:rPr>
                <w:rFonts w:ascii="Calibri" w:hAnsi="Calibri" w:cs="Calibri"/>
                <w:color w:val="111111"/>
                <w:sz w:val="22"/>
                <w:szCs w:val="22"/>
              </w:rPr>
              <w:lastRenderedPageBreak/>
              <w:t>SVS Har Ghar Jal module records daily water supply volumes at village level across 55,000+ villages.</w:t>
            </w:r>
          </w:p>
        </w:tc>
      </w:tr>
      <w:tr w:rsidR="009E6728" w:rsidRPr="00681821" w14:paraId="6B34D9A8" w14:textId="77777777">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3C45B17A"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lastRenderedPageBreak/>
              <w:t>C.5 Products/Services Environmental Impact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B67860"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Cube and Material Testing mandatory re-inspection loops ensure construction quality of water supply infrastructure — preventing premature failure and associated water loss. FHTC AI verification prevents duplicate/fraudulent tap connection claims. O&amp;M Billing penalty logic for residual pressure and complaint SLA breach protects water service quality throughout the service life-cycle.</w:t>
            </w:r>
          </w:p>
        </w:tc>
      </w:tr>
      <w:tr w:rsidR="009E6728" w:rsidRPr="00681821" w14:paraId="74E6088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658EF99D"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C — SDG 6 Direct Contribution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0AF858"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Nirmal module provides unified water-quality monitoring across rural and urban programs (AMRUT, MPUAAD, MPUDC) — early-warning on contamination risk from a single platform. Direct contribution to SDG 6.1 (safe drinking water) and SDG 6.3 (water quality improvement).</w:t>
            </w:r>
          </w:p>
        </w:tc>
      </w:tr>
    </w:tbl>
    <w:p w14:paraId="37E31F74" w14:textId="77777777" w:rsidR="009E6728" w:rsidRPr="00681821" w:rsidRDefault="009E6728">
      <w:pPr>
        <w:spacing w:before="120"/>
        <w:rPr>
          <w:rFonts w:ascii="Calibri" w:hAnsi="Calibri" w:cs="Calibri"/>
          <w:sz w:val="22"/>
          <w:szCs w:val="22"/>
        </w:rPr>
      </w:pPr>
    </w:p>
    <w:p w14:paraId="1F3A8653"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GPAS — Section D: Social Dimension</w:t>
      </w:r>
    </w:p>
    <w:p w14:paraId="233FE82F"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Training, digital adoption, community impact</w:t>
      </w:r>
    </w:p>
    <w:p w14:paraId="65BB183B"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169F68C8"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vAlign w:val="center"/>
          </w:tcPr>
          <w:p w14:paraId="559D825F"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GPAS Section D — Social Dimension of Sustainability</w:t>
            </w:r>
          </w:p>
        </w:tc>
      </w:tr>
      <w:tr w:rsidR="009E6728" w:rsidRPr="00681821" w14:paraId="636C3F88" w14:textId="77777777">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7C837434"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A0DEDE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0926039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ACE4056"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D.2 Training &amp; Digital Adoption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5870DB7"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Field engineers (FE), contractors, GM, SQC/TPIA, and higher-official users are trained on structured, role-based digital workflows for inspection, billing, water-quality testing, and community participation. Selenium-based automated regression testing (TestNG) reflects ongoing quality and capability-building discipline in the development team.</w:t>
            </w:r>
          </w:p>
        </w:tc>
      </w:tr>
      <w:tr w:rsidR="009E6728" w:rsidRPr="00681821" w14:paraId="37F723C3" w14:textId="77777777">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2649718"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D — Community Impact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052206" w14:textId="77777777" w:rsidR="009E6728" w:rsidRPr="00681821" w:rsidRDefault="00000000">
            <w:pPr>
              <w:spacing w:after="50"/>
              <w:rPr>
                <w:rFonts w:ascii="Calibri" w:hAnsi="Calibri" w:cs="Calibri"/>
                <w:sz w:val="22"/>
                <w:szCs w:val="22"/>
              </w:rPr>
            </w:pP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structured community/NGO participation in rural water-awareness activities — photo/video/document evidence, ISA-level approval, Village/Combined abstract report, RA(1)–RA(12) numbering. Real, documented community engagement at village level across MP.</w:t>
            </w:r>
          </w:p>
        </w:tc>
      </w:tr>
    </w:tbl>
    <w:p w14:paraId="1F23B2AE" w14:textId="77777777" w:rsidR="009E6728" w:rsidRPr="00681821" w:rsidRDefault="009E6728">
      <w:pPr>
        <w:spacing w:before="120"/>
        <w:rPr>
          <w:rFonts w:ascii="Calibri" w:hAnsi="Calibri" w:cs="Calibri"/>
          <w:sz w:val="22"/>
          <w:szCs w:val="22"/>
        </w:rPr>
      </w:pPr>
    </w:p>
    <w:p w14:paraId="378A7196" w14:textId="77777777" w:rsidR="009E6728" w:rsidRPr="00681821" w:rsidRDefault="00000000" w:rsidP="00681821">
      <w:pPr>
        <w:pBdr>
          <w:bottom w:val="single" w:sz="8" w:space="0"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GPAS — Section G: Product Responsibility</w:t>
      </w:r>
    </w:p>
    <w:p w14:paraId="5534600E"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Construction quality, public transparency</w:t>
      </w:r>
    </w:p>
    <w:p w14:paraId="5555EDC0"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693B36D0"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2E7D32"/>
            <w:tcMar>
              <w:top w:w="100" w:type="dxa"/>
              <w:left w:w="140" w:type="dxa"/>
              <w:bottom w:w="100" w:type="dxa"/>
              <w:right w:w="140" w:type="dxa"/>
            </w:tcMar>
            <w:vAlign w:val="center"/>
          </w:tcPr>
          <w:p w14:paraId="5C8EB178"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GPAS Section G — Product Responsibility Performance</w:t>
            </w:r>
          </w:p>
        </w:tc>
      </w:tr>
      <w:tr w:rsidR="009E6728" w:rsidRPr="00681821" w14:paraId="2DCDD6EC" w14:textId="77777777">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1FB2AAD2"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24500B4A"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1C4ABF1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CBAE8AF"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G.1 Construction/Service Quality Safety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397D7052"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Cube Testing: mandatory photo-evidence capture, SQC/TPIA verification, and a mandatory two-cycle re-inspection loop before </w:t>
            </w:r>
            <w:r w:rsidRPr="00681821">
              <w:rPr>
                <w:rFonts w:ascii="Calibri" w:hAnsi="Calibri" w:cs="Calibri"/>
                <w:color w:val="111111"/>
                <w:sz w:val="22"/>
                <w:szCs w:val="22"/>
              </w:rPr>
              <w:lastRenderedPageBreak/>
              <w:t>any construction quality sign-off. No approval possible without physical verification. Material Testing follows the same framework. Prevents sub-standard materials from entering water supply infrastructure.</w:t>
            </w:r>
          </w:p>
        </w:tc>
      </w:tr>
      <w:tr w:rsidR="009E6728" w:rsidRPr="00681821" w14:paraId="4AFE4E43" w14:textId="77777777">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7A91FC98"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lastRenderedPageBreak/>
              <w:t>G.2 Public Transparency / Open Reporting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943D3E"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Public DWSR (Daily/Monthly Water Supply Report) dashboards — open, no-login water supply reporting. SVS Report Dashboard: KPI tiles (Total/Yes/No/Partial village counts), Pie Chart, District-wise Bar Graph, and Detailed Village List — all accessible without authentication. Genuine public disclosure of water supply performance.</w:t>
            </w:r>
          </w:p>
        </w:tc>
      </w:tr>
    </w:tbl>
    <w:p w14:paraId="190D38E8" w14:textId="77777777" w:rsidR="009E6728" w:rsidRPr="00681821" w:rsidRDefault="009E6728">
      <w:pPr>
        <w:spacing w:before="120"/>
        <w:rPr>
          <w:rFonts w:ascii="Calibri" w:hAnsi="Calibri" w:cs="Calibri"/>
          <w:sz w:val="22"/>
          <w:szCs w:val="22"/>
        </w:rPr>
      </w:pPr>
    </w:p>
    <w:p w14:paraId="2B4CEA95"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GPAS — Section H: Process, Technology &amp; People</w:t>
      </w:r>
    </w:p>
    <w:p w14:paraId="40D028DA"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UFW efficiency, risk innovation, AI for sustainability</w:t>
      </w:r>
    </w:p>
    <w:p w14:paraId="0CBBFB0E"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2FCE282F"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229B02FB"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GPAS Section H — Process, Technology and People</w:t>
            </w:r>
          </w:p>
        </w:tc>
      </w:tr>
      <w:tr w:rsidR="009E6728" w:rsidRPr="00681821" w14:paraId="0645E8CB" w14:textId="77777777">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12E8541D"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75EFA97C"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3FE4F36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3007934"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H.3 Technology Investment — Resource Efficiency</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436A858"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UFW tracking (resource efficiency metric) and O&amp;M Billing mandatory document/penalty logic (financial control) are directly measurable technology-driven improvements. Dhara meter-reading provides the data foundation for computing UFW per scheme. These are quantifiable, before/after comparable improvements in water-resource and financial efficiency.</w:t>
            </w:r>
          </w:p>
        </w:tc>
      </w:tr>
      <w:tr w:rsidR="009E6728" w:rsidRPr="00681821" w14:paraId="32261A52" w14:textId="77777777">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4D59F860"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H.5 Innovation in Risk-Management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9A6BCC"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Mandatory re-inspection loops (Cube/Material Testing), master-data locking once linked to live transactions, and AI-based FHTC verification are genuine risk-management innovations. Contractor Objection workflow (Dhara) provides a structured, time-bound dispute resolution mechanism. O&amp;M Billing 48-hour complaint-resolution SLA with penalty relaxation is a service-risk control mechanism.</w:t>
            </w:r>
          </w:p>
        </w:tc>
      </w:tr>
      <w:tr w:rsidR="009E6728" w:rsidRPr="00681821" w14:paraId="094C36C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ACC91E1"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H.6 AI Usage — Sustainability Performance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150559A1"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STRONGLY EVIDENCED. YOLO-based computer-vision model (YOLOv11 and </w:t>
            </w:r>
            <w:proofErr w:type="spellStart"/>
            <w:r w:rsidRPr="00681821">
              <w:rPr>
                <w:rFonts w:ascii="Calibri" w:hAnsi="Calibri" w:cs="Calibri"/>
                <w:color w:val="111111"/>
                <w:sz w:val="22"/>
                <w:szCs w:val="22"/>
              </w:rPr>
              <w:t>rfdetr</w:t>
            </w:r>
            <w:proofErr w:type="spellEnd"/>
            <w:r w:rsidRPr="00681821">
              <w:rPr>
                <w:rFonts w:ascii="Calibri" w:hAnsi="Calibri" w:cs="Calibri"/>
                <w:color w:val="111111"/>
                <w:sz w:val="22"/>
                <w:szCs w:val="22"/>
              </w:rPr>
              <w:t>, with blur-robust fine-tuning) automatically detects and verifies genuine tap connections and beneficiary presence from field photos — deployed to production in April–July 2026. Directly strengthens the integrity of Jal Jeevan Mission FHTC saturation claims. Buffer-region validation prevents false-positive detections. This is a first-of-its-kind AI deployment in a Government of MP water supply governance platform.</w:t>
            </w:r>
          </w:p>
        </w:tc>
      </w:tr>
    </w:tbl>
    <w:p w14:paraId="4BDD459B" w14:textId="77777777" w:rsidR="009E6728" w:rsidRPr="00681821" w:rsidRDefault="009E6728">
      <w:pPr>
        <w:spacing w:before="120"/>
        <w:rPr>
          <w:rFonts w:ascii="Calibri" w:hAnsi="Calibri" w:cs="Calibri"/>
          <w:sz w:val="22"/>
          <w:szCs w:val="22"/>
        </w:rPr>
      </w:pPr>
    </w:p>
    <w:p w14:paraId="02C42DB2"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GPAS — Section J: SDG Targets</w:t>
      </w:r>
    </w:p>
    <w:p w14:paraId="3B19A5BC"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SDG 6 alignment, targets, achievements</w:t>
      </w:r>
    </w:p>
    <w:p w14:paraId="61F7ED3F"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0C3B4D16"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6064"/>
            <w:tcMar>
              <w:top w:w="100" w:type="dxa"/>
              <w:left w:w="140" w:type="dxa"/>
              <w:bottom w:w="100" w:type="dxa"/>
              <w:right w:w="140" w:type="dxa"/>
            </w:tcMar>
            <w:vAlign w:val="center"/>
          </w:tcPr>
          <w:p w14:paraId="7F55737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GPAS Section J — SDG Targets and Performance Reporting</w:t>
            </w:r>
          </w:p>
        </w:tc>
      </w:tr>
      <w:tr w:rsidR="009E6728" w:rsidRPr="00681821" w14:paraId="245B3B0A" w14:textId="77777777">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A0908F3"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27A948D1"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5F939B8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5AF4C28D"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J.1 SDGs Pursued, Targets, Achievements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AD885D8"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SDG 6 (Clean Water and Sanitation) is Jal Rekha's core operating mandate. Directly contributes to: SDG 6.1 (safe and affordable drinking water), SDG 6.3 (water quality improvement — Nirmal module), SDG 6.b (community participation — </w:t>
            </w: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SDG 11 (Sustainable Cities — AMRUT/urban programs), SDG 17 (digital data infrastructure for governance). Numeric targets: village coverage, HSC connections verified, UFW % per scheme — to be compiled from production data.</w:t>
            </w:r>
          </w:p>
        </w:tc>
      </w:tr>
    </w:tbl>
    <w:p w14:paraId="3CC1EE18" w14:textId="77777777" w:rsidR="009E6728" w:rsidRPr="00681821" w:rsidRDefault="009E6728">
      <w:pPr>
        <w:spacing w:before="120"/>
        <w:rPr>
          <w:rFonts w:ascii="Calibri" w:hAnsi="Calibri" w:cs="Calibri"/>
          <w:sz w:val="22"/>
          <w:szCs w:val="22"/>
        </w:rPr>
      </w:pPr>
    </w:p>
    <w:p w14:paraId="76D7F212"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GPAS — Section K &amp; L: Reporting, AI &amp; Other Initiatives</w:t>
      </w:r>
    </w:p>
    <w:p w14:paraId="556E9732"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5AD02804"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0EAB4058"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GPAS Section K — Performance Reporting | Section L — AI Initiatives</w:t>
            </w:r>
          </w:p>
        </w:tc>
      </w:tr>
      <w:tr w:rsidR="009E6728" w:rsidRPr="00681821" w14:paraId="10141959" w14:textId="77777777">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7E9BF632"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4040C6B6"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43B7884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6E1D2E04"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K — Performance Reporting &amp; Public Disclosure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07B429E"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Public DWSR dashboards (no-login water supply reporting) are an analogous disclosure mechanism to formal sustainability reporting. SVS Report Dashboard provides real-time, publicly accessible KPI reporting on water supply performance across all MP villages. This is genuine public disclosure of operational sustainability data — not merely a SEBI/regulatory requirement but a citizen-facing transparency practice.</w:t>
            </w:r>
          </w:p>
        </w:tc>
      </w:tr>
      <w:tr w:rsidR="009E6728" w:rsidRPr="00681821" w14:paraId="0B4D46BF" w14:textId="77777777">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72F406BF"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L.1 AI for Sustainability Performance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B3D05D"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Same evidence as H.6: FHTC AI tap-connection verification (YOLOv11/</w:t>
            </w:r>
            <w:proofErr w:type="spellStart"/>
            <w:r w:rsidRPr="00681821">
              <w:rPr>
                <w:rFonts w:ascii="Calibri" w:hAnsi="Calibri" w:cs="Calibri"/>
                <w:color w:val="111111"/>
                <w:sz w:val="22"/>
                <w:szCs w:val="22"/>
              </w:rPr>
              <w:t>rfdetr</w:t>
            </w:r>
            <w:proofErr w:type="spellEnd"/>
            <w:r w:rsidRPr="00681821">
              <w:rPr>
                <w:rFonts w:ascii="Calibri" w:hAnsi="Calibri" w:cs="Calibri"/>
                <w:color w:val="111111"/>
                <w:sz w:val="22"/>
                <w:szCs w:val="22"/>
              </w:rPr>
              <w:t>) ensures only genuine functional connections are counted in JJM saturation figures. Additionally, the CMMI Level 5 certified development process itself represents an AI/process-maturity discipline — data-driven quality management (Productivity, Cycle Time, DRE tracking with UCL/LCL control charts, RCA 5-Why analysis, formal DAR methodology) that improves platform reliability and sustainability of the digital service.</w:t>
            </w:r>
          </w:p>
        </w:tc>
      </w:tr>
    </w:tbl>
    <w:p w14:paraId="2E9FC163" w14:textId="77777777" w:rsidR="009E6728" w:rsidRPr="00681821" w:rsidRDefault="009E6728">
      <w:pPr>
        <w:spacing w:before="160"/>
        <w:rPr>
          <w:rFonts w:ascii="Calibri" w:hAnsi="Calibri" w:cs="Calibri"/>
          <w:sz w:val="22"/>
          <w:szCs w:val="22"/>
        </w:rPr>
      </w:pPr>
    </w:p>
    <w:p w14:paraId="41CACF0D"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7. Annexure 3 — Self-Appraisal: GPAESG Sections</w:t>
      </w:r>
    </w:p>
    <w:p w14:paraId="1C7608A1"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Environmental, Social, Governance Framework — strongest evidenced answers</w:t>
      </w:r>
    </w:p>
    <w:p w14:paraId="7735D955" w14:textId="77777777" w:rsidR="009E6728" w:rsidRPr="00681821" w:rsidRDefault="009E6728">
      <w:pPr>
        <w:spacing w:before="60"/>
        <w:rPr>
          <w:rFonts w:ascii="Calibri" w:hAnsi="Calibri" w:cs="Calibri"/>
          <w:sz w:val="22"/>
          <w:szCs w:val="22"/>
        </w:rPr>
      </w:pPr>
    </w:p>
    <w:p w14:paraId="67DF91B4"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GPAESG — Section A: Governance Framework</w:t>
      </w:r>
    </w:p>
    <w:p w14:paraId="06E5A21A"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Capacity building, grievance redressal</w:t>
      </w:r>
    </w:p>
    <w:p w14:paraId="32886EA7"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0C357068"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3709C0C7"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GPAESG Section A — Governance Framework</w:t>
            </w:r>
          </w:p>
        </w:tc>
      </w:tr>
      <w:tr w:rsidR="009E6728" w:rsidRPr="00681821" w14:paraId="43B6C3F9" w14:textId="77777777">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7925FEA6"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41A72156"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78C7A0C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5588F83B"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A.4 Capacity Building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2A7C1EF"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Jal Rekha's structured role-based workflows require and reinforce ongoing user capability building at every operational level — Contractor, GM, FE, SQC/TPIA, higher officials. Selenium-automated regression testing suite reflects engineering team capacity building. CMMI Level 5 process training embedded in the development cycle.</w:t>
            </w:r>
          </w:p>
        </w:tc>
      </w:tr>
      <w:tr w:rsidR="009E6728" w:rsidRPr="00681821" w14:paraId="22EAD0FC" w14:textId="77777777">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1D6FB98E"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A.7 Grievance Redressal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2E3D19"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O&amp;M Billing Contractor Dispute/Objection workflow (Dhara data discrepancy with time-bound contractor remark, GM approve/reject with 3-day auto-approve concept) is a structured, documented grievance mechanism within the platform. Jal Samadhan complaint module provides citizen-level grievance registration with SLA tracking.</w:t>
            </w:r>
          </w:p>
        </w:tc>
      </w:tr>
    </w:tbl>
    <w:p w14:paraId="2560126A" w14:textId="77777777" w:rsidR="009E6728" w:rsidRPr="00681821" w:rsidRDefault="009E6728">
      <w:pPr>
        <w:spacing w:before="120"/>
        <w:rPr>
          <w:rFonts w:ascii="Calibri" w:hAnsi="Calibri" w:cs="Calibri"/>
          <w:sz w:val="22"/>
          <w:szCs w:val="22"/>
        </w:rPr>
      </w:pPr>
    </w:p>
    <w:p w14:paraId="71AF2F31"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GPAESG — Section B: Social Framework</w:t>
      </w:r>
    </w:p>
    <w:p w14:paraId="68B25DF7"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Community engagement, data privacy by design</w:t>
      </w:r>
    </w:p>
    <w:p w14:paraId="1DCBAD9D"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337D013B"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vAlign w:val="center"/>
          </w:tcPr>
          <w:p w14:paraId="29D0348E"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GPAESG Section B — Social Framework</w:t>
            </w:r>
          </w:p>
        </w:tc>
      </w:tr>
      <w:tr w:rsidR="009E6728" w:rsidRPr="00681821" w14:paraId="6000F35F" w14:textId="77777777">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DA4FF83"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1DEB1E9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0888173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1F857B06"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B.7 Community Engagement / Philanthropic</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5ECD6427" w14:textId="77777777" w:rsidR="009E6728" w:rsidRPr="00681821" w:rsidRDefault="00000000">
            <w:pPr>
              <w:spacing w:after="50"/>
              <w:rPr>
                <w:rFonts w:ascii="Calibri" w:hAnsi="Calibri" w:cs="Calibri"/>
                <w:sz w:val="22"/>
                <w:szCs w:val="22"/>
              </w:rPr>
            </w:pP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xml:space="preserve"> module: structured community/NGO participation in rural water-awareness activities. ISA (Individual Social Activist)-mapped field execution. Village-wise and combined activity abstract reports. RA Bill (Reimbursement/Activity Bill) linked to ISA activity completion. Multi-level approval (FE → ISA → CP Manager → GM). Photo/video/document evidence at every stage. Genuine, documented community engagement at the GP level.</w:t>
            </w:r>
          </w:p>
        </w:tc>
      </w:tr>
      <w:tr w:rsidR="009E6728" w:rsidRPr="00681821" w14:paraId="47BCF846" w14:textId="77777777">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67F06EA7"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B.8 Data Privacy — Privacy by Design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D1E14D"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Role-based access controls: each login sees only their assigned data (FE sees only their mapped ISA, Contractor sees only their scheme, GM sees only their PIU). Mandatory audit logging across all approval stages. No cross-role data exposure by design. A formal data-privacy policy statement is an applicant-level input to be provided by MP Jal Nigam/</w:t>
            </w:r>
            <w:proofErr w:type="spellStart"/>
            <w:r w:rsidRPr="00681821">
              <w:rPr>
                <w:rFonts w:ascii="Calibri" w:hAnsi="Calibri" w:cs="Calibri"/>
                <w:color w:val="111111"/>
                <w:sz w:val="22"/>
                <w:szCs w:val="22"/>
              </w:rPr>
              <w:t>MPSeDC</w:t>
            </w:r>
            <w:proofErr w:type="spellEnd"/>
            <w:r w:rsidRPr="00681821">
              <w:rPr>
                <w:rFonts w:ascii="Calibri" w:hAnsi="Calibri" w:cs="Calibri"/>
                <w:color w:val="111111"/>
                <w:sz w:val="22"/>
                <w:szCs w:val="22"/>
              </w:rPr>
              <w:t>.</w:t>
            </w:r>
          </w:p>
        </w:tc>
      </w:tr>
    </w:tbl>
    <w:p w14:paraId="378D8333" w14:textId="77777777" w:rsidR="009E6728" w:rsidRPr="00681821" w:rsidRDefault="009E6728">
      <w:pPr>
        <w:spacing w:before="120"/>
        <w:rPr>
          <w:rFonts w:ascii="Calibri" w:hAnsi="Calibri" w:cs="Calibri"/>
          <w:sz w:val="22"/>
          <w:szCs w:val="22"/>
        </w:rPr>
      </w:pPr>
    </w:p>
    <w:p w14:paraId="4AEF1956"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GPAESG — Section C: Environmental Framework</w:t>
      </w:r>
    </w:p>
    <w:p w14:paraId="51ABE1F7"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Climate/contamination risk, water as core function</w:t>
      </w:r>
    </w:p>
    <w:p w14:paraId="4A08A5E2"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092A2900"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06064"/>
            <w:tcMar>
              <w:top w:w="100" w:type="dxa"/>
              <w:left w:w="140" w:type="dxa"/>
              <w:bottom w:w="100" w:type="dxa"/>
              <w:right w:w="140" w:type="dxa"/>
            </w:tcMar>
            <w:vAlign w:val="center"/>
          </w:tcPr>
          <w:p w14:paraId="48D0B12F"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lastRenderedPageBreak/>
              <w:t>GPAESG Section C — Environmental Framework</w:t>
            </w:r>
          </w:p>
        </w:tc>
      </w:tr>
      <w:tr w:rsidR="009E6728" w:rsidRPr="00681821" w14:paraId="0E63BD0B" w14:textId="77777777">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31739F12"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3BAA469D"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096CB5B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235817D4"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C.2 Environment / Climate Risk</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0596E8C6"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Nirmal module's cross-department water-quality monitoring (rural + AMRUT/MPUAAD/MPUDC urban) gives early-warning visibility on contamination risk at scheme and village level. Dhara UFW tracking identifies water-distribution system failures before they become major losses. SVS daily supply status (No/Partial + reasons: pipeline damage, source failure) provides an operational climate/infrastructure risk signal at scale.</w:t>
            </w:r>
          </w:p>
        </w:tc>
      </w:tr>
      <w:tr w:rsidR="009E6728" w:rsidRPr="00681821" w14:paraId="38BD975C" w14:textId="77777777">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A8419C1"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C — Water Resource Monitoring (Core)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DCC6A6"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Jal Rekha is uniquely positioned on the environmental framework because water-resource management is not a secondary ESG metric for the platform — it is the platform's primary purpose. UFW tracking, daily supply monitoring, meter-reading governance, and water-quality testing are the platform's core operational functions, making every operational KPI an environmental performance KPI.</w:t>
            </w:r>
          </w:p>
        </w:tc>
      </w:tr>
    </w:tbl>
    <w:p w14:paraId="5C648215" w14:textId="77777777" w:rsidR="009E6728" w:rsidRPr="00681821" w:rsidRDefault="009E6728">
      <w:pPr>
        <w:spacing w:before="120"/>
        <w:rPr>
          <w:rFonts w:ascii="Calibri" w:hAnsi="Calibri" w:cs="Calibri"/>
          <w:sz w:val="22"/>
          <w:szCs w:val="22"/>
        </w:rPr>
      </w:pPr>
    </w:p>
    <w:p w14:paraId="16DF3B6B"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GPAESG — Section D: Reporting &amp; Disclosures</w:t>
      </w:r>
    </w:p>
    <w:p w14:paraId="0CF73EE8"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Open dashboards, audit trail, reporting accuracy</w:t>
      </w:r>
    </w:p>
    <w:p w14:paraId="04350541"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74076142"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01174038"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GPAESG Section D — Reporting and Disclosures</w:t>
            </w:r>
          </w:p>
        </w:tc>
      </w:tr>
      <w:tr w:rsidR="009E6728" w:rsidRPr="00681821" w14:paraId="324E2856" w14:textId="77777777">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A2B14AA"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41C4B485"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00F75E3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B6E32CC"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D.1 Public ESG Reporting — Open Dashboards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D9FA7DB"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Public DWSR dashboards and SVS Report Dashboard are genuine, directly relevant public disclosure practices: open, no-login, real-time water supply reporting to citizens. These go beyond internal sustainability reporting — they make performance data accessible to the entire population of beneficiaries. Alignment to a recognised ESG framework (BRSR/GRI) to be confirmed with applicant.</w:t>
            </w:r>
          </w:p>
        </w:tc>
      </w:tr>
      <w:tr w:rsidR="009E6728" w:rsidRPr="00681821" w14:paraId="6B943C2E" w14:textId="77777777">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CE54B47"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D.5 Assurance of Reporting Accuracy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85B596"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Jal Rekha's audit-logged, role-based approval workflows ensure that no data point in a public report can be changed without an approval trail. CMMI Level 5 development process provides a documented, audited software delivery chain. Mandatory document uploads (signed MB, Form 27A, pass order) at each approval stage create a physical evidence chain supporting digital reporting accuracy.</w:t>
            </w:r>
          </w:p>
        </w:tc>
      </w:tr>
    </w:tbl>
    <w:p w14:paraId="30D59C89" w14:textId="77777777" w:rsidR="009E6728" w:rsidRPr="00681821" w:rsidRDefault="009E6728">
      <w:pPr>
        <w:spacing w:before="120"/>
        <w:rPr>
          <w:rFonts w:ascii="Calibri" w:hAnsi="Calibri" w:cs="Calibri"/>
          <w:sz w:val="22"/>
          <w:szCs w:val="22"/>
        </w:rPr>
      </w:pPr>
    </w:p>
    <w:p w14:paraId="0DE2F5EF"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GPAESG — Section E: ESG Integration</w:t>
      </w:r>
    </w:p>
    <w:p w14:paraId="57019436" w14:textId="77777777" w:rsidR="009E6728" w:rsidRPr="00681821" w:rsidRDefault="00000000">
      <w:pPr>
        <w:spacing w:after="60"/>
        <w:rPr>
          <w:rFonts w:ascii="Calibri" w:hAnsi="Calibri" w:cs="Calibri"/>
          <w:sz w:val="22"/>
          <w:szCs w:val="22"/>
        </w:rPr>
      </w:pPr>
      <w:r w:rsidRPr="00681821">
        <w:rPr>
          <w:rFonts w:ascii="Calibri" w:hAnsi="Calibri" w:cs="Calibri"/>
          <w:i/>
          <w:iCs/>
          <w:color w:val="555555"/>
          <w:sz w:val="22"/>
          <w:szCs w:val="22"/>
        </w:rPr>
        <w:t>Operational ESG KPIs</w:t>
      </w:r>
    </w:p>
    <w:p w14:paraId="729FB2E8"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44225674"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1B5E20"/>
            <w:tcMar>
              <w:top w:w="100" w:type="dxa"/>
              <w:left w:w="140" w:type="dxa"/>
              <w:bottom w:w="100" w:type="dxa"/>
              <w:right w:w="140" w:type="dxa"/>
            </w:tcMar>
            <w:vAlign w:val="center"/>
          </w:tcPr>
          <w:p w14:paraId="739F5F92"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GPAESG Section E — ESG Integration</w:t>
            </w:r>
          </w:p>
        </w:tc>
      </w:tr>
      <w:tr w:rsidR="009E6728" w:rsidRPr="00681821" w14:paraId="1FB0658B" w14:textId="77777777">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745B8810"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767FCB8A"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0732631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4D345B70"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E.1 ESG KPIs Identified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6CA4BEA3"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Water-loss (UFW %) per scheme — tracked via O&amp;M Billing UFW Report. Water-quality testing coverage (schemes/habitations tested per quarter) — tracked via Nirmal module. FHTC saturation rate (AI-verified genuine connections) — tracked via FHTC AI module. Village daily supply completeness (Yes/No/Partial %) — tracked via SVS DWSR. Community participation activities (count, type, GP-wise) — tracked via </w:t>
            </w: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Complaint resolution SLA compliance (%) — tracked via Jal Samadhan. These are natural, operationally grounded ESG KPIs already tracked daily by the platform.</w:t>
            </w:r>
          </w:p>
        </w:tc>
      </w:tr>
    </w:tbl>
    <w:p w14:paraId="330FFDD0" w14:textId="77777777" w:rsidR="009E6728" w:rsidRPr="00681821" w:rsidRDefault="009E6728">
      <w:pPr>
        <w:spacing w:before="120"/>
        <w:rPr>
          <w:rFonts w:ascii="Calibri" w:hAnsi="Calibri" w:cs="Calibri"/>
          <w:sz w:val="22"/>
          <w:szCs w:val="22"/>
        </w:rPr>
      </w:pPr>
    </w:p>
    <w:p w14:paraId="0788DE98" w14:textId="77777777" w:rsidR="009E6728" w:rsidRPr="00681821" w:rsidRDefault="00000000">
      <w:pPr>
        <w:pBdr>
          <w:bottom w:val="single" w:sz="8" w:space="2" w:color="B8860B"/>
        </w:pBdr>
        <w:spacing w:before="300" w:after="80"/>
        <w:rPr>
          <w:rFonts w:ascii="Calibri" w:hAnsi="Calibri" w:cs="Calibri"/>
          <w:sz w:val="26"/>
          <w:szCs w:val="26"/>
        </w:rPr>
      </w:pPr>
      <w:r w:rsidRPr="00681821">
        <w:rPr>
          <w:rFonts w:ascii="Calibri" w:eastAsia="Georgia" w:hAnsi="Calibri" w:cs="Calibri"/>
          <w:b/>
          <w:bCs/>
          <w:color w:val="0D2B4E"/>
          <w:sz w:val="26"/>
          <w:szCs w:val="26"/>
        </w:rPr>
        <w:t>GPAESG — Section F &amp; G: Status, Impact &amp; Unique Differentiators</w:t>
      </w:r>
    </w:p>
    <w:p w14:paraId="28D03261" w14:textId="77777777" w:rsidR="009E6728" w:rsidRPr="00681821" w:rsidRDefault="009E6728">
      <w:pPr>
        <w:spacing w:before="4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E6728" w:rsidRPr="00681821" w14:paraId="111940D5" w14:textId="77777777">
        <w:tc>
          <w:tcPr>
            <w:tcW w:w="9360" w:type="dxa"/>
            <w:gridSpan w:val="2"/>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6297FD0"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GPAESG Section F — Status &amp; Impact | Section G — General</w:t>
            </w:r>
          </w:p>
        </w:tc>
      </w:tr>
      <w:tr w:rsidR="009E6728" w:rsidRPr="00681821" w14:paraId="274E9FB7" w14:textId="77777777">
        <w:tc>
          <w:tcPr>
            <w:tcW w:w="32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10D8DEEF"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Guideline Question / Criterion</w:t>
            </w:r>
          </w:p>
        </w:tc>
        <w:tc>
          <w:tcPr>
            <w:tcW w:w="616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6AED2919"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Jal Rekha — Evidence &amp; Response</w:t>
            </w:r>
          </w:p>
        </w:tc>
      </w:tr>
      <w:tr w:rsidR="009E6728" w:rsidRPr="00681821" w14:paraId="7298307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E51FE3C"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F.12 Water Usage (Litres)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7A92F399"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Partially evidenced and uniquely strong: Dhara meter-reading data (Intake/WTP/OHT meter readings, Bulk Consumer readings) captures actual water volumes at scheme level monthly. O&amp;M Billing UFW tracking computes water loss per scheme per billing period. These should be compiled into a litres-per-year figure — Jal Rekha is one of very few government platforms that already has this data in a structured, </w:t>
            </w:r>
            <w:proofErr w:type="spellStart"/>
            <w:r w:rsidRPr="00681821">
              <w:rPr>
                <w:rFonts w:ascii="Calibri" w:hAnsi="Calibri" w:cs="Calibri"/>
                <w:color w:val="111111"/>
                <w:sz w:val="22"/>
                <w:szCs w:val="22"/>
              </w:rPr>
              <w:t>queryable</w:t>
            </w:r>
            <w:proofErr w:type="spellEnd"/>
            <w:r w:rsidRPr="00681821">
              <w:rPr>
                <w:rFonts w:ascii="Calibri" w:hAnsi="Calibri" w:cs="Calibri"/>
                <w:color w:val="111111"/>
                <w:sz w:val="22"/>
                <w:szCs w:val="22"/>
              </w:rPr>
              <w:t xml:space="preserve"> form.</w:t>
            </w:r>
          </w:p>
        </w:tc>
      </w:tr>
      <w:tr w:rsidR="009E6728" w:rsidRPr="00681821" w14:paraId="190D6988" w14:textId="77777777">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53871C44"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F.13 Unique Differentiators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5445FB"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(1) AI-powered FHTC tap-connection verification (YOLOv11/</w:t>
            </w:r>
            <w:proofErr w:type="spellStart"/>
            <w:r w:rsidRPr="00681821">
              <w:rPr>
                <w:rFonts w:ascii="Calibri" w:hAnsi="Calibri" w:cs="Calibri"/>
                <w:color w:val="111111"/>
                <w:sz w:val="22"/>
                <w:szCs w:val="22"/>
              </w:rPr>
              <w:t>rfdetr</w:t>
            </w:r>
            <w:proofErr w:type="spellEnd"/>
            <w:r w:rsidRPr="00681821">
              <w:rPr>
                <w:rFonts w:ascii="Calibri" w:hAnsi="Calibri" w:cs="Calibri"/>
                <w:color w:val="111111"/>
                <w:sz w:val="22"/>
                <w:szCs w:val="22"/>
              </w:rPr>
              <w:t>) — first-of-its-kind in MP government water supply governance. (2) Mandatory two-cycle physical re-inspection loop for construction quality — cannot be bypassed digitally. (3) Cross-department (rural + urban) Nirmal water-quality framework — unified early-warning across AMRUT/MPUAAD/MPUDC. (4) UFW-linked contractor billing deductions — financial incentive aligned to environmental performance. (5) CMMI Level 5 process maturity — highest global standard for a state government water supply platform.</w:t>
            </w:r>
          </w:p>
        </w:tc>
      </w:tr>
      <w:tr w:rsidR="009E6728" w:rsidRPr="00681821" w14:paraId="0E0D4D5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3296347D"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t>G.2 Unique Good Practices</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40" w:type="dxa"/>
              <w:bottom w:w="100" w:type="dxa"/>
              <w:right w:w="140" w:type="dxa"/>
            </w:tcMar>
          </w:tcPr>
          <w:p w14:paraId="47687996"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(1) AI-based FHTC tap verification — tamper-resistant, auditable, computer-vision driven. (2) Mandatory Cube/Material Testing re-inspection loop — physical quality verification cannot be bypassed. (3) Cross-department Nirmal water-quality framework — rural + AMRUT + urban in a single platform. (4) UFW-driven contractor billing deductions — environmental performance metric linked to financial accountability. (5) CMMI Level 5 </w:t>
            </w:r>
            <w:r w:rsidRPr="00681821">
              <w:rPr>
                <w:rFonts w:ascii="Calibri" w:hAnsi="Calibri" w:cs="Calibri"/>
                <w:color w:val="111111"/>
                <w:sz w:val="22"/>
                <w:szCs w:val="22"/>
              </w:rPr>
              <w:lastRenderedPageBreak/>
              <w:t>certified development — highest process maturity for a state government platform. (6) 55,000+ village daily supply monitoring via SVS Har Ghar Jal — the state's only granular daily water supply dataset.</w:t>
            </w:r>
          </w:p>
        </w:tc>
      </w:tr>
      <w:tr w:rsidR="009E6728" w:rsidRPr="00681821" w14:paraId="125F0A0F" w14:textId="77777777">
        <w:tc>
          <w:tcPr>
            <w:tcW w:w="32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2F5CDCAC" w14:textId="77777777" w:rsidR="009E6728" w:rsidRPr="00681821" w:rsidRDefault="00000000">
            <w:pPr>
              <w:spacing w:after="50"/>
              <w:rPr>
                <w:rFonts w:ascii="Calibri" w:hAnsi="Calibri" w:cs="Calibri"/>
                <w:sz w:val="22"/>
                <w:szCs w:val="22"/>
              </w:rPr>
            </w:pPr>
            <w:r w:rsidRPr="00681821">
              <w:rPr>
                <w:rFonts w:ascii="Calibri" w:hAnsi="Calibri" w:cs="Calibri"/>
                <w:b/>
                <w:bCs/>
                <w:color w:val="0D2B4E"/>
                <w:sz w:val="22"/>
                <w:szCs w:val="22"/>
              </w:rPr>
              <w:lastRenderedPageBreak/>
              <w:t>G.3 ESG Value Creation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8A72B3" w14:textId="77777777" w:rsidR="009E6728" w:rsidRPr="00681821" w:rsidRDefault="00000000">
            <w:pPr>
              <w:spacing w:after="50"/>
              <w:rPr>
                <w:rFonts w:ascii="Calibri" w:hAnsi="Calibri" w:cs="Calibri"/>
                <w:sz w:val="22"/>
                <w:szCs w:val="22"/>
              </w:rPr>
            </w:pPr>
            <w:r w:rsidRPr="00681821">
              <w:rPr>
                <w:rFonts w:ascii="Calibri" w:hAnsi="Calibri" w:cs="Calibri"/>
                <w:color w:val="111111"/>
                <w:sz w:val="22"/>
                <w:szCs w:val="22"/>
              </w:rPr>
              <w:t xml:space="preserve">Financial: Reduced billing leakage through mandatory document checks and UFW-linked deductions; penalty-linked contractor performance (manpower, vehicles, complaint SLA, residual pressure). Non-financial: Stronger JJM FHTC-claim integrity protecting programme credibility; early-warning on water-quality contamination improving public health outcomes; genuine citizen transparency via no-login public dashboards; community engagement formalised via </w:t>
            </w:r>
            <w:proofErr w:type="spellStart"/>
            <w:r w:rsidRPr="00681821">
              <w:rPr>
                <w:rFonts w:ascii="Calibri" w:hAnsi="Calibri" w:cs="Calibri"/>
                <w:color w:val="111111"/>
                <w:sz w:val="22"/>
                <w:szCs w:val="22"/>
              </w:rPr>
              <w:t>Sahbhagita</w:t>
            </w:r>
            <w:proofErr w:type="spellEnd"/>
            <w:r w:rsidRPr="00681821">
              <w:rPr>
                <w:rFonts w:ascii="Calibri" w:hAnsi="Calibri" w:cs="Calibri"/>
                <w:color w:val="111111"/>
                <w:sz w:val="22"/>
                <w:szCs w:val="22"/>
              </w:rPr>
              <w:t>; construction quality improved via mandatory re-inspection loops.</w:t>
            </w:r>
          </w:p>
        </w:tc>
      </w:tr>
    </w:tbl>
    <w:p w14:paraId="63118A6F" w14:textId="77777777" w:rsidR="009E6728" w:rsidRPr="00681821" w:rsidRDefault="009E6728">
      <w:pPr>
        <w:spacing w:before="160"/>
        <w:rPr>
          <w:rFonts w:ascii="Calibri" w:hAnsi="Calibri" w:cs="Calibri"/>
          <w:sz w:val="22"/>
          <w:szCs w:val="22"/>
        </w:rPr>
      </w:pPr>
    </w:p>
    <w:p w14:paraId="472635DE" w14:textId="77777777" w:rsidR="009E6728" w:rsidRPr="00681821" w:rsidRDefault="009E6728">
      <w:pPr>
        <w:spacing w:before="160"/>
        <w:rPr>
          <w:rFonts w:ascii="Calibri" w:hAnsi="Calibri" w:cs="Calibri"/>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60"/>
        <w:gridCol w:w="1300"/>
        <w:gridCol w:w="1300"/>
      </w:tblGrid>
      <w:tr w:rsidR="009E6728" w:rsidRPr="00681821" w14:paraId="4235A871" w14:textId="77777777">
        <w:tc>
          <w:tcPr>
            <w:tcW w:w="26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1FED7153"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Prepared by</w:t>
            </w:r>
          </w:p>
        </w:tc>
        <w:tc>
          <w:tcPr>
            <w:tcW w:w="416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7321314D" w14:textId="77777777" w:rsidR="009E6728" w:rsidRPr="00681821" w:rsidRDefault="00000000">
            <w:pPr>
              <w:rPr>
                <w:rFonts w:ascii="Calibri" w:hAnsi="Calibri" w:cs="Calibri"/>
                <w:sz w:val="22"/>
                <w:szCs w:val="22"/>
              </w:rPr>
            </w:pPr>
            <w:r w:rsidRPr="00681821">
              <w:rPr>
                <w:rFonts w:ascii="Calibri" w:hAnsi="Calibri" w:cs="Calibri"/>
                <w:color w:val="0D2B4E"/>
                <w:sz w:val="22"/>
                <w:szCs w:val="22"/>
              </w:rPr>
              <w:t xml:space="preserve">Mr. Dheeraj Motiyani, Sr. Business Analyst, </w:t>
            </w:r>
            <w:proofErr w:type="spellStart"/>
            <w:r w:rsidRPr="00681821">
              <w:rPr>
                <w:rFonts w:ascii="Calibri" w:hAnsi="Calibri" w:cs="Calibri"/>
                <w:color w:val="0D2B4E"/>
                <w:sz w:val="22"/>
                <w:szCs w:val="22"/>
              </w:rPr>
              <w:t>MPSeDC</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5B6D40FF"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Date</w:t>
            </w:r>
          </w:p>
        </w:tc>
        <w:tc>
          <w:tcPr>
            <w:tcW w:w="1300" w:type="dxa"/>
            <w:tcBorders>
              <w:top w:val="single" w:sz="1" w:space="0" w:color="CCCCCC"/>
              <w:left w:val="single" w:sz="1" w:space="0" w:color="CCCCCC"/>
              <w:bottom w:val="single" w:sz="1" w:space="0" w:color="CCCCCC"/>
              <w:right w:val="single" w:sz="1" w:space="0" w:color="CCCCCC"/>
            </w:tcBorders>
            <w:shd w:val="clear" w:color="auto" w:fill="FFF8DC"/>
            <w:tcMar>
              <w:top w:w="100" w:type="dxa"/>
              <w:left w:w="140" w:type="dxa"/>
              <w:bottom w:w="100" w:type="dxa"/>
              <w:right w:w="140" w:type="dxa"/>
            </w:tcMar>
          </w:tcPr>
          <w:p w14:paraId="09635161" w14:textId="77777777" w:rsidR="009E6728" w:rsidRPr="00681821" w:rsidRDefault="00000000">
            <w:pPr>
              <w:jc w:val="center"/>
              <w:rPr>
                <w:rFonts w:ascii="Calibri" w:hAnsi="Calibri" w:cs="Calibri"/>
                <w:sz w:val="22"/>
                <w:szCs w:val="22"/>
              </w:rPr>
            </w:pPr>
            <w:r w:rsidRPr="00681821">
              <w:rPr>
                <w:rFonts w:ascii="Calibri" w:hAnsi="Calibri" w:cs="Calibri"/>
                <w:color w:val="111111"/>
                <w:sz w:val="22"/>
                <w:szCs w:val="22"/>
              </w:rPr>
              <w:t>20 Aug 2026</w:t>
            </w:r>
          </w:p>
        </w:tc>
      </w:tr>
      <w:tr w:rsidR="009E6728" w:rsidRPr="00681821" w14:paraId="14440604" w14:textId="77777777">
        <w:tc>
          <w:tcPr>
            <w:tcW w:w="26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1F8BC55A"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Reviewed by</w:t>
            </w:r>
          </w:p>
        </w:tc>
        <w:tc>
          <w:tcPr>
            <w:tcW w:w="416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501EE06A" w14:textId="77777777" w:rsidR="009E6728" w:rsidRPr="00681821" w:rsidRDefault="00000000">
            <w:pPr>
              <w:rPr>
                <w:rFonts w:ascii="Calibri" w:hAnsi="Calibri" w:cs="Calibri"/>
                <w:sz w:val="22"/>
                <w:szCs w:val="22"/>
              </w:rPr>
            </w:pPr>
            <w:r w:rsidRPr="00681821">
              <w:rPr>
                <w:rFonts w:ascii="Calibri" w:hAnsi="Calibri" w:cs="Calibri"/>
                <w:color w:val="0D2B4E"/>
                <w:sz w:val="22"/>
                <w:szCs w:val="22"/>
              </w:rPr>
              <w:t xml:space="preserve">Mr. Tapan Khandelwal, Senior Project Manager, </w:t>
            </w:r>
            <w:proofErr w:type="spellStart"/>
            <w:r w:rsidRPr="00681821">
              <w:rPr>
                <w:rFonts w:ascii="Calibri" w:hAnsi="Calibri" w:cs="Calibri"/>
                <w:color w:val="0D2B4E"/>
                <w:sz w:val="22"/>
                <w:szCs w:val="22"/>
              </w:rPr>
              <w:t>MPSeDC</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0D2B4E"/>
            <w:tcMar>
              <w:top w:w="100" w:type="dxa"/>
              <w:left w:w="140" w:type="dxa"/>
              <w:bottom w:w="100" w:type="dxa"/>
              <w:right w:w="140" w:type="dxa"/>
            </w:tcMar>
            <w:vAlign w:val="center"/>
          </w:tcPr>
          <w:p w14:paraId="4B9430BA" w14:textId="77777777" w:rsidR="009E6728" w:rsidRPr="00681821" w:rsidRDefault="00000000">
            <w:pPr>
              <w:jc w:val="center"/>
              <w:rPr>
                <w:rFonts w:ascii="Calibri" w:hAnsi="Calibri" w:cs="Calibri"/>
                <w:sz w:val="22"/>
                <w:szCs w:val="22"/>
              </w:rPr>
            </w:pPr>
            <w:r w:rsidRPr="00681821">
              <w:rPr>
                <w:rFonts w:ascii="Calibri" w:eastAsia="Georgia" w:hAnsi="Calibri" w:cs="Calibri"/>
                <w:b/>
                <w:bCs/>
                <w:color w:val="FFFFFF"/>
                <w:sz w:val="22"/>
                <w:szCs w:val="22"/>
              </w:rPr>
              <w:t>Date</w:t>
            </w:r>
          </w:p>
        </w:tc>
        <w:tc>
          <w:tcPr>
            <w:tcW w:w="1300" w:type="dxa"/>
            <w:tcBorders>
              <w:top w:val="single" w:sz="1" w:space="0" w:color="CCCCCC"/>
              <w:left w:val="single" w:sz="1" w:space="0" w:color="CCCCCC"/>
              <w:bottom w:val="single" w:sz="1" w:space="0" w:color="CCCCCC"/>
              <w:right w:val="single" w:sz="1" w:space="0" w:color="CCCCCC"/>
            </w:tcBorders>
            <w:shd w:val="clear" w:color="auto" w:fill="FDF5DC"/>
            <w:tcMar>
              <w:top w:w="100" w:type="dxa"/>
              <w:left w:w="140" w:type="dxa"/>
              <w:bottom w:w="100" w:type="dxa"/>
              <w:right w:w="140" w:type="dxa"/>
            </w:tcMar>
          </w:tcPr>
          <w:p w14:paraId="0F1E30D5" w14:textId="77777777" w:rsidR="009E6728" w:rsidRPr="00681821" w:rsidRDefault="009E6728">
            <w:pPr>
              <w:rPr>
                <w:rFonts w:ascii="Calibri" w:hAnsi="Calibri" w:cs="Calibri"/>
                <w:sz w:val="22"/>
                <w:szCs w:val="22"/>
              </w:rPr>
            </w:pPr>
          </w:p>
        </w:tc>
      </w:tr>
    </w:tbl>
    <w:p w14:paraId="10A7887E" w14:textId="77777777" w:rsidR="00762A97" w:rsidRPr="00681821" w:rsidRDefault="00762A97">
      <w:pPr>
        <w:rPr>
          <w:rFonts w:ascii="Calibri" w:hAnsi="Calibri" w:cs="Calibri"/>
          <w:sz w:val="22"/>
          <w:szCs w:val="22"/>
        </w:rPr>
      </w:pPr>
    </w:p>
    <w:sectPr w:rsidR="00762A97" w:rsidRPr="00681821">
      <w:headerReference w:type="default" r:id="rId7"/>
      <w:footerReference w:type="default" r:id="rId8"/>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35AC6" w14:textId="77777777" w:rsidR="0072206D" w:rsidRDefault="0072206D">
      <w:r>
        <w:separator/>
      </w:r>
    </w:p>
  </w:endnote>
  <w:endnote w:type="continuationSeparator" w:id="0">
    <w:p w14:paraId="79235362" w14:textId="77777777" w:rsidR="0072206D" w:rsidRDefault="00722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BDBD4" w14:textId="77777777" w:rsidR="009E6728" w:rsidRDefault="00000000">
    <w:pPr>
      <w:pBdr>
        <w:top w:val="single" w:sz="4" w:space="1" w:color="B8860B"/>
      </w:pBdr>
      <w:tabs>
        <w:tab w:val="right" w:pos="9360"/>
      </w:tabs>
      <w:spacing w:before="60"/>
    </w:pPr>
    <w:r>
      <w:rPr>
        <w:color w:val="0D2B4E"/>
        <w:sz w:val="16"/>
        <w:szCs w:val="16"/>
      </w:rPr>
      <w:t xml:space="preserve">Page </w:t>
    </w:r>
    <w:r>
      <w:rPr>
        <w:color w:val="0D2B4E"/>
        <w:sz w:val="16"/>
        <w:szCs w:val="16"/>
      </w:rPr>
      <w:fldChar w:fldCharType="begin"/>
    </w:r>
    <w:r>
      <w:rPr>
        <w:color w:val="0D2B4E"/>
        <w:sz w:val="16"/>
        <w:szCs w:val="16"/>
      </w:rPr>
      <w:instrText>PAGE</w:instrText>
    </w:r>
    <w:r>
      <w:rPr>
        <w:color w:val="0D2B4E"/>
        <w:sz w:val="16"/>
        <w:szCs w:val="16"/>
      </w:rPr>
      <w:fldChar w:fldCharType="separate"/>
    </w:r>
    <w:r w:rsidR="00681821">
      <w:rPr>
        <w:noProof/>
        <w:color w:val="0D2B4E"/>
        <w:sz w:val="16"/>
        <w:szCs w:val="16"/>
      </w:rPr>
      <w:t>1</w:t>
    </w:r>
    <w:r>
      <w:rPr>
        <w:color w:val="0D2B4E"/>
        <w:sz w:val="16"/>
        <w:szCs w:val="16"/>
      </w:rPr>
      <w:fldChar w:fldCharType="end"/>
    </w:r>
    <w:r>
      <w:rPr>
        <w:color w:val="0D2B4E"/>
        <w:sz w:val="16"/>
        <w:szCs w:val="16"/>
      </w:rPr>
      <w:t xml:space="preserve"> of </w:t>
    </w:r>
    <w:r>
      <w:rPr>
        <w:color w:val="0D2B4E"/>
        <w:sz w:val="16"/>
        <w:szCs w:val="16"/>
      </w:rPr>
      <w:fldChar w:fldCharType="begin"/>
    </w:r>
    <w:r>
      <w:rPr>
        <w:color w:val="0D2B4E"/>
        <w:sz w:val="16"/>
        <w:szCs w:val="16"/>
      </w:rPr>
      <w:instrText>NUMPAGES</w:instrText>
    </w:r>
    <w:r>
      <w:rPr>
        <w:color w:val="0D2B4E"/>
        <w:sz w:val="16"/>
        <w:szCs w:val="16"/>
      </w:rPr>
      <w:fldChar w:fldCharType="separate"/>
    </w:r>
    <w:r w:rsidR="00681821">
      <w:rPr>
        <w:noProof/>
        <w:color w:val="0D2B4E"/>
        <w:sz w:val="16"/>
        <w:szCs w:val="16"/>
      </w:rPr>
      <w:t>2</w:t>
    </w:r>
    <w:r>
      <w:rPr>
        <w:color w:val="0D2B4E"/>
        <w:sz w:val="16"/>
        <w:szCs w:val="16"/>
      </w:rPr>
      <w:fldChar w:fldCharType="end"/>
    </w:r>
    <w:r>
      <w:rPr>
        <w:color w:val="0D2B4E"/>
        <w:sz w:val="16"/>
        <w:szCs w:val="16"/>
      </w:rPr>
      <w:tab/>
    </w:r>
    <w:proofErr w:type="spellStart"/>
    <w:r>
      <w:rPr>
        <w:color w:val="0D2B4E"/>
        <w:sz w:val="16"/>
        <w:szCs w:val="16"/>
      </w:rPr>
      <w:t>MPSeDC</w:t>
    </w:r>
    <w:proofErr w:type="spellEnd"/>
    <w:r>
      <w:rPr>
        <w:color w:val="0D2B4E"/>
        <w:sz w:val="16"/>
        <w:szCs w:val="16"/>
      </w:rPr>
      <w:t xml:space="preserve"> / MPSSDI | Jal Rekha — GPAS &amp; GPAESG Submission | Version 1.0 |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FA9E2" w14:textId="77777777" w:rsidR="0072206D" w:rsidRDefault="0072206D">
      <w:r>
        <w:separator/>
      </w:r>
    </w:p>
  </w:footnote>
  <w:footnote w:type="continuationSeparator" w:id="0">
    <w:p w14:paraId="166D014E" w14:textId="77777777" w:rsidR="0072206D" w:rsidRDefault="00722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202D" w14:textId="60747FF1" w:rsidR="009E6728" w:rsidRPr="009C0B42" w:rsidRDefault="00000000">
    <w:pPr>
      <w:pBdr>
        <w:bottom w:val="single" w:sz="6" w:space="2" w:color="B8860B"/>
      </w:pBdr>
      <w:spacing w:after="80"/>
      <w:rPr>
        <w:rFonts w:ascii="Georgia" w:eastAsia="Georgia" w:hAnsi="Georgia" w:cs="Georgia"/>
        <w:b/>
        <w:bCs/>
        <w:color w:val="0D2B4E"/>
        <w:sz w:val="16"/>
        <w:szCs w:val="16"/>
      </w:rPr>
    </w:pPr>
    <w:r>
      <w:rPr>
        <w:rFonts w:ascii="Georgia" w:eastAsia="Georgia" w:hAnsi="Georgia" w:cs="Georgia"/>
        <w:b/>
        <w:bCs/>
        <w:color w:val="0D2B4E"/>
        <w:sz w:val="16"/>
        <w:szCs w:val="16"/>
      </w:rPr>
      <w:t xml:space="preserve">Jal Rekha — Golden Peacock Award for Sustainability (GPAS) &amp; ESG (GPAESG) | </w:t>
    </w:r>
    <w:r w:rsidR="009C0B42">
      <w:rPr>
        <w:rFonts w:ascii="Georgia" w:eastAsia="Georgia" w:hAnsi="Georgia" w:cs="Georgia"/>
        <w:b/>
        <w:bCs/>
        <w:color w:val="0D2B4E"/>
        <w:sz w:val="16"/>
        <w:szCs w:val="16"/>
      </w:rPr>
      <w:t>KPI Parameters</w:t>
    </w:r>
    <w:r>
      <w:rPr>
        <w:rFonts w:ascii="Georgia" w:eastAsia="Georgia" w:hAnsi="Georgia" w:cs="Georgia"/>
        <w:b/>
        <w:bCs/>
        <w:color w:val="0D2B4E"/>
        <w:sz w:val="16"/>
        <w:szCs w:val="16"/>
      </w:rPr>
      <w:t xml:space="preserve"> Summary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601D4"/>
    <w:multiLevelType w:val="hybridMultilevel"/>
    <w:tmpl w:val="B2A02E94"/>
    <w:lvl w:ilvl="0" w:tplc="737AAE2A">
      <w:start w:val="1"/>
      <w:numFmt w:val="bullet"/>
      <w:lvlText w:val="●"/>
      <w:lvlJc w:val="left"/>
      <w:pPr>
        <w:ind w:left="720" w:hanging="360"/>
      </w:pPr>
    </w:lvl>
    <w:lvl w:ilvl="1" w:tplc="315CF890">
      <w:start w:val="1"/>
      <w:numFmt w:val="bullet"/>
      <w:lvlText w:val="○"/>
      <w:lvlJc w:val="left"/>
      <w:pPr>
        <w:ind w:left="1440" w:hanging="360"/>
      </w:pPr>
    </w:lvl>
    <w:lvl w:ilvl="2" w:tplc="6712A592">
      <w:start w:val="1"/>
      <w:numFmt w:val="bullet"/>
      <w:lvlText w:val="■"/>
      <w:lvlJc w:val="left"/>
      <w:pPr>
        <w:ind w:left="2160" w:hanging="360"/>
      </w:pPr>
    </w:lvl>
    <w:lvl w:ilvl="3" w:tplc="71346CD8">
      <w:start w:val="1"/>
      <w:numFmt w:val="bullet"/>
      <w:lvlText w:val="●"/>
      <w:lvlJc w:val="left"/>
      <w:pPr>
        <w:ind w:left="2880" w:hanging="360"/>
      </w:pPr>
    </w:lvl>
    <w:lvl w:ilvl="4" w:tplc="3D6E2FD2">
      <w:start w:val="1"/>
      <w:numFmt w:val="bullet"/>
      <w:lvlText w:val="○"/>
      <w:lvlJc w:val="left"/>
      <w:pPr>
        <w:ind w:left="3600" w:hanging="360"/>
      </w:pPr>
    </w:lvl>
    <w:lvl w:ilvl="5" w:tplc="EC88B8B4">
      <w:start w:val="1"/>
      <w:numFmt w:val="bullet"/>
      <w:lvlText w:val="■"/>
      <w:lvlJc w:val="left"/>
      <w:pPr>
        <w:ind w:left="4320" w:hanging="360"/>
      </w:pPr>
    </w:lvl>
    <w:lvl w:ilvl="6" w:tplc="5560B6DE">
      <w:start w:val="1"/>
      <w:numFmt w:val="bullet"/>
      <w:lvlText w:val="●"/>
      <w:lvlJc w:val="left"/>
      <w:pPr>
        <w:ind w:left="5040" w:hanging="360"/>
      </w:pPr>
    </w:lvl>
    <w:lvl w:ilvl="7" w:tplc="E8F80A10">
      <w:start w:val="1"/>
      <w:numFmt w:val="bullet"/>
      <w:lvlText w:val="●"/>
      <w:lvlJc w:val="left"/>
      <w:pPr>
        <w:ind w:left="5760" w:hanging="360"/>
      </w:pPr>
    </w:lvl>
    <w:lvl w:ilvl="8" w:tplc="824ADFBC">
      <w:start w:val="1"/>
      <w:numFmt w:val="bullet"/>
      <w:lvlText w:val="●"/>
      <w:lvlJc w:val="left"/>
      <w:pPr>
        <w:ind w:left="6480" w:hanging="360"/>
      </w:pPr>
    </w:lvl>
  </w:abstractNum>
  <w:num w:numId="1" w16cid:durableId="1639989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728"/>
    <w:rsid w:val="00681821"/>
    <w:rsid w:val="0072206D"/>
    <w:rsid w:val="0073733B"/>
    <w:rsid w:val="00762A97"/>
    <w:rsid w:val="009C0B42"/>
    <w:rsid w:val="009E672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3E61"/>
  <w15:docId w15:val="{90FC3550-B9AA-4862-A558-0388193C8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0B42"/>
    <w:pPr>
      <w:tabs>
        <w:tab w:val="center" w:pos="4513"/>
        <w:tab w:val="right" w:pos="9026"/>
      </w:tabs>
    </w:pPr>
    <w:rPr>
      <w:rFonts w:cs="Mangal"/>
      <w:szCs w:val="18"/>
    </w:rPr>
  </w:style>
  <w:style w:type="character" w:customStyle="1" w:styleId="HeaderChar">
    <w:name w:val="Header Char"/>
    <w:basedOn w:val="DefaultParagraphFont"/>
    <w:link w:val="Header"/>
    <w:uiPriority w:val="99"/>
    <w:rsid w:val="009C0B42"/>
    <w:rPr>
      <w:rFonts w:cs="Mangal"/>
      <w:szCs w:val="18"/>
    </w:rPr>
  </w:style>
  <w:style w:type="paragraph" w:styleId="Footer">
    <w:name w:val="footer"/>
    <w:basedOn w:val="Normal"/>
    <w:link w:val="FooterChar"/>
    <w:uiPriority w:val="99"/>
    <w:unhideWhenUsed/>
    <w:rsid w:val="009C0B42"/>
    <w:pPr>
      <w:tabs>
        <w:tab w:val="center" w:pos="4513"/>
        <w:tab w:val="right" w:pos="9026"/>
      </w:tabs>
    </w:pPr>
    <w:rPr>
      <w:rFonts w:cs="Mangal"/>
      <w:szCs w:val="18"/>
    </w:rPr>
  </w:style>
  <w:style w:type="character" w:customStyle="1" w:styleId="FooterChar">
    <w:name w:val="Footer Char"/>
    <w:basedOn w:val="DefaultParagraphFont"/>
    <w:link w:val="Footer"/>
    <w:uiPriority w:val="99"/>
    <w:rsid w:val="009C0B42"/>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4087</Words>
  <Characters>23299</Characters>
  <Application>Microsoft Office Word</Application>
  <DocSecurity>0</DocSecurity>
  <Lines>194</Lines>
  <Paragraphs>54</Paragraphs>
  <ScaleCrop>false</ScaleCrop>
  <Company/>
  <LinksUpToDate>false</LinksUpToDate>
  <CharactersWithSpaces>27332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Dheeraj Motiyani</cp:lastModifiedBy>
  <cp:revision>3</cp:revision>
  <dcterms:created xsi:type="dcterms:W3CDTF">2026-08-20T11:17:00Z</dcterms:created>
  <dcterms:modified xsi:type="dcterms:W3CDTF">2026-08-20T11:31:00Z</dcterms:modified>
</cp:coreProperties>
</file>