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8"/>
          <w:szCs w:val="28"/>
        </w:rPr>
        <w:t xml:space="preserve">मदिरा दुकानों के निरीक्षण से संबंधित मुख्य बिन्दु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1.  निर्धारित साइन बोर्ड लगा है अथवा नही ?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2.  मदिरा की विक्रय दर अंकित है अथवा नही ?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3.  लायसेंस एवं नौकरनामा चैक करना है ।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4.  मदिरा स्कंध पंजी से मदिरा स्कंध का मिलान करना है।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5.  परमिटों से मदिरा स्कंध का सत्यापन करना है।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6.  निरीक्षण पुस्तिका में निरीक्षण लिखना है।</w:t>
      </w:r>
    </w:p>
    <w:p>
      <w:pPr>
        <w:spacing w:after="800"/>
      </w:pP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हस्ताक्षर एवं दिनांक ……………………………</w:t>
      </w:r>
    </w:p>
    <w:sectPr>
      <w:pgSz w:w="11907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2026-08-12T10:14:43.572Z</dcterms:created>
  <dcterms:modified xsi:type="dcterms:W3CDTF">2026-08-12T10:14:43.572Z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