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1F3864"/>
          <w:sz w:val="34"/>
          <w:szCs w:val="34"/>
        </w:rPr>
        <w:t xml:space="preserve">DECISION ANALYSIS &amp; RESOLUTION (DAR) PROCESS</w:t>
      </w:r>
    </w:p>
    <w:p>
      <w:pPr>
        <w:spacing w:after="60"/>
        <w:jc w:val="center"/>
      </w:pPr>
      <w:r>
        <w:rPr>
          <w:b/>
          <w:bCs/>
          <w:sz w:val="24"/>
          <w:szCs w:val="24"/>
        </w:rPr>
        <w:t xml:space="preserve">Applied to: District GIS Parakh — DAR Start Project</w:t>
      </w:r>
    </w:p>
    <w:p>
      <w:pPr>
        <w:spacing w:after="300"/>
        <w:jc w:val="center"/>
      </w:pPr>
      <w:r>
        <w:rPr>
          <w:i/>
          <w:iCs/>
          <w:sz w:val="21"/>
          <w:szCs w:val="21"/>
        </w:rPr>
        <w:t xml:space="preserve">Process Reference Card (PRC)</w:t>
      </w:r>
    </w:p>
    <w:p>
      <w:pPr>
        <w:pStyle w:val="Heading1"/>
        <w:spacing w:after="120" w:before="280"/>
      </w:pPr>
      <w: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3060"/>
        <w:gridCol w:w="1700"/>
        <w:gridCol w:w="1700"/>
      </w:tblGrid>
      <w:tr>
        <w:tc>
          <w:tcPr>
            <w:tcW w:type="dxa" w:w="1300"/>
            <w:shd w:fill="2E74B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Version</w:t>
            </w:r>
          </w:p>
        </w:tc>
        <w:tc>
          <w:tcPr>
            <w:tcW w:type="dxa" w:w="1600"/>
            <w:shd w:fill="2E74B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  <w:tc>
          <w:tcPr>
            <w:tcW w:type="dxa" w:w="3060"/>
            <w:shd w:fill="2E74B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  <w:tc>
          <w:tcPr>
            <w:tcW w:type="dxa" w:w="1700"/>
            <w:shd w:fill="2E74B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Prepared By</w:t>
            </w:r>
          </w:p>
        </w:tc>
        <w:tc>
          <w:tcPr>
            <w:tcW w:type="dxa" w:w="1700"/>
            <w:shd w:fill="2E74B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Reviewed By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14-06-2021</w:t>
            </w:r>
          </w:p>
        </w:tc>
        <w:tc>
          <w:tcPr>
            <w:tcW w:type="dxa" w:w="30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Baseline organisational Process for DAR (QMS)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SEPG Team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SEPG Head</w:t>
            </w:r>
          </w:p>
        </w:tc>
      </w:tr>
      <w:tr>
        <w:tc>
          <w:tcPr>
            <w:tcW w:type="dxa" w:w="13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1.1</w:t>
            </w:r>
          </w:p>
        </w:tc>
        <w:tc>
          <w:tcPr>
            <w:tcW w:type="dxa" w:w="1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24-08-2026</w:t>
            </w:r>
          </w:p>
        </w:tc>
        <w:tc>
          <w:tcPr>
            <w:tcW w:type="dxa" w:w="30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Adapted for use on District GIS Parakh — added Section 14 (Application to District GIS Parakh) documenting which project decisions this process was applied to and where the resulting DAR records are held.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Dheeraj Motiyani</w:t>
            </w:r>
          </w:p>
        </w:tc>
        <w:tc>
          <w:tcPr>
            <w:tcW w:type="dxa" w:w="17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Rakesh Dubey (GIS Head)</w:t>
            </w:r>
          </w:p>
        </w:tc>
      </w:tr>
    </w:tbl>
    <w:p>
      <w:pPr>
        <w:pStyle w:val="Heading1"/>
        <w:spacing w:after="120" w:before="280"/>
      </w:pPr>
      <w:r>
        <w:t xml:space="preserve">1. Purpose</w:t>
      </w:r>
    </w:p>
    <w:p>
      <w:pPr>
        <w:pStyle w:val="Heading1"/>
        <w:spacing w:after="120" w:before="280"/>
      </w:pPr>
      <w:r>
        <w:t xml:space="preserve">2. Intent</w:t>
      </w:r>
    </w:p>
    <w:p>
      <w:pPr>
        <w:pStyle w:val="Heading1"/>
        <w:spacing w:after="120" w:before="280"/>
      </w:pPr>
      <w:r>
        <w:t xml:space="preserve">3. Value</w:t>
      </w:r>
    </w:p>
    <w:p>
      <w:pPr>
        <w:pStyle w:val="Heading1"/>
        <w:spacing w:after="120" w:before="280"/>
      </w:pPr>
      <w:r>
        <w:t xml:space="preserve">4. Scope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Introduction of a new service line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Modification of existing services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Design architectures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Platforms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Tools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Risk mitigation strategies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Selection of suppliers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Make-buy-reuse decisions</w:t>
      </w:r>
    </w:p>
    <w:p>
      <w:pPr>
        <w:pStyle w:val="Heading1"/>
        <w:spacing w:after="120" w:before="280"/>
      </w:pPr>
      <w:r>
        <w:t xml:space="preserve">5. Entry Criteria</w:t>
      </w:r>
    </w:p>
    <w:p>
      <w:pPr>
        <w:pStyle w:val="Heading1"/>
        <w:spacing w:after="120" w:before="280"/>
      </w:pPr>
      <w:r>
        <w:t xml:space="preserve">6. Inputs</w:t>
      </w:r>
    </w:p>
    <w:p>
      <w:pPr>
        <w:pStyle w:val="Heading1"/>
        <w:spacing w:after="120" w:before="280"/>
      </w:pPr>
      <w:r>
        <w:t xml:space="preserve">7. Responsibility</w:t>
      </w:r>
    </w:p>
    <w:p>
      <w:pPr>
        <w:pStyle w:val="Heading1"/>
        <w:spacing w:after="120" w:before="280"/>
      </w:pPr>
      <w:r>
        <w:t xml:space="preserve">8. Tasks</w:t>
      </w:r>
    </w:p>
    <w:tbl>
      <w:tblPr>
        <w:tblW w:type="dxa" w:w="9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360"/>
      </w:tblGrid>
      <w:tr>
        <w:tc>
          <w:tcPr>
            <w:tcW w:type="dxa" w:w="2600"/>
            <w:shd w:fill="2E74B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Task</w:t>
            </w:r>
          </w:p>
        </w:tc>
        <w:tc>
          <w:tcPr>
            <w:tcW w:type="dxa" w:w="7360"/>
            <w:shd w:fill="2E74B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Establish Evaluation Criteria</w:t>
            </w:r>
          </w:p>
        </w:tc>
        <w:tc>
          <w:tcPr>
            <w:tcW w:type="dxa" w:w="7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Identify the criteria for evaluating the alternatives (numeric, e.g. cost, or non-numeric, e.g. impact/risk). Rank criteria by degree of influence so stakeholder needs are reflected in the evaluation.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Identify Alternatives</w:t>
            </w:r>
          </w:p>
        </w:tc>
        <w:tc>
          <w:tcPr>
            <w:tcW w:type="dxa" w:w="7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Identify alternative solutions to address the issue. Potential candidate solutions are selected and explored further.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Select Evaluation Methods</w:t>
            </w:r>
          </w:p>
        </w:tc>
        <w:tc>
          <w:tcPr>
            <w:tcW w:type="dxa" w:w="7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Select evaluation methods commensurate with project constraints (cost, schedule) — e.g. desk study, brainstorming, formal group discussion, simulation, prototyping, piloting, survey.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Evaluate Alternatives</w:t>
            </w:r>
          </w:p>
        </w:tc>
        <w:tc>
          <w:tcPr>
            <w:tcW w:type="dxa" w:w="7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Evaluate the selected alternatives using the established evaluation criteria and selected evaluation methods.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Select Alternatives</w:t>
            </w:r>
          </w:p>
        </w:tc>
        <w:tc>
          <w:tcPr>
            <w:tcW w:type="dxa" w:w="7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Select alternative(s) based on the evaluation results. Risks associated with the recommended alternative(s) must be assessed and documented.</w:t>
            </w:r>
          </w:p>
        </w:tc>
      </w:tr>
      <w:tr>
        <w:tc>
          <w:tcPr>
            <w:tcW w:type="dxa" w:w="26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Provide Rationale</w:t>
            </w:r>
          </w:p>
        </w:tc>
        <w:tc>
          <w:tcPr>
            <w:tcW w:type="dxa" w:w="73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Document the criteria used, their rankings, the alternatives identified, the evaluation method(s) used, the evaluation results, and the recommended alternative — either as a standalone report or embedded in the relevant technical/managerial document.</w:t>
            </w:r>
          </w:p>
        </w:tc>
      </w:tr>
    </w:tbl>
    <w:p>
      <w:pPr>
        <w:pStyle w:val="Heading1"/>
        <w:spacing w:after="120" w:before="280"/>
      </w:pPr>
      <w:r>
        <w:t xml:space="preserve">9. Outputs</w:t>
      </w:r>
    </w:p>
    <w:p>
      <w:pPr>
        <w:pStyle w:val="Heading1"/>
        <w:spacing w:after="120" w:before="280"/>
      </w:pPr>
      <w:r>
        <w:t xml:space="preserve">10. Validation</w:t>
      </w:r>
    </w:p>
    <w:p>
      <w:pPr>
        <w:pStyle w:val="Heading1"/>
        <w:spacing w:after="120" w:before="280"/>
      </w:pPr>
      <w:r>
        <w:t xml:space="preserve">11. Exit Criteria</w:t>
      </w:r>
    </w:p>
    <w:p>
      <w:pPr>
        <w:pStyle w:val="Heading1"/>
        <w:spacing w:after="120" w:before="280"/>
      </w:pPr>
      <w:r>
        <w:t xml:space="preserve">12. References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Decision Analysis and Resolution Guideline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Risk Management Process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Project Planning Process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Customer Engagement Process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Project Monitoring and Control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1"/>
          <w:szCs w:val="21"/>
        </w:rPr>
        <w:t xml:space="preserve">Procurement Management Process</w:t>
      </w:r>
    </w:p>
    <w:p>
      <w:pPr>
        <w:pStyle w:val="Heading1"/>
        <w:spacing w:after="120" w:before="280"/>
      </w:pPr>
      <w:r>
        <w:t xml:space="preserve">13. Format &amp; Template</w:t>
      </w:r>
    </w:p>
    <w:p>
      <w:r>
        <w:br w:type="page"/>
      </w:r>
    </w:p>
    <w:p>
      <w:pPr>
        <w:pStyle w:val="Heading1"/>
        <w:spacing w:after="120" w:before="280"/>
      </w:pPr>
      <w:r>
        <w:t xml:space="preserve">14. Application to District GIS Parakh — DAR Start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shd w:fill="2E74B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3200"/>
            <w:shd w:fill="2E74B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Alternatives Considered</w:t>
            </w:r>
          </w:p>
        </w:tc>
        <w:tc>
          <w:tcPr>
            <w:tcW w:type="dxa" w:w="3960"/>
            <w:shd w:fill="2E74B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Record Location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Web application technology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PHP, .NET, Java, Angular (frontend-only)</w:t>
            </w:r>
          </w:p>
        </w:tc>
        <w:tc>
          <w:tcPr>
            <w:tcW w:type="dxa" w:w="39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District_GIS_Parakh_DAR_Start_Project_V1_0.xlsx, sheet 'DAR for Web Technology'</w:t>
            </w:r>
          </w:p>
        </w:tc>
      </w:tr>
      <w:tr>
        <w:tc>
          <w:tcPr>
            <w:tcW w:type="dxa" w:w="2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Mobile platform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iOS (native), Android (native)</w:t>
            </w:r>
          </w:p>
        </w:tc>
        <w:tc>
          <w:tcPr>
            <w:tcW w:type="dxa" w:w="39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District_GIS_Parakh_DAR_Start_Project_V1_0.xlsx, sheet 'DAR for Mobile Platform'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shd w:fill="2E74B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Module</w:t>
            </w:r>
          </w:p>
        </w:tc>
        <w:tc>
          <w:tcPr>
            <w:tcW w:type="dxa" w:w="3200"/>
            <w:shd w:fill="2E74B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Decision</w:t>
            </w:r>
          </w:p>
        </w:tc>
        <w:tc>
          <w:tcPr>
            <w:tcW w:type="dxa" w:w="3760"/>
            <w:shd w:fill="2E74B5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Record Location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Indore Division Inspection Module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Assignment &amp; Action-Tracking workflow model (manual vs. semi-automated vs. fully automated escalation)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DAR_Indore_Inspection_Module_V1_0.xlsx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CM Jan Vishwas Abhiyaan Module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Statewide inspection-form strategy across all 55 districts (fully custom vs. one rigid form vs. governed common form set)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DAR_CM_Jan_Vishwas_Abhiyaan_Module_V1_0.xlsx</w:t>
            </w:r>
          </w:p>
        </w:tc>
      </w:tr>
      <w:tr>
        <w:tc>
          <w:tcPr>
            <w:tcW w:type="dxa" w:w="24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PM Poshan Social Audit Module</w:t>
            </w:r>
          </w:p>
        </w:tc>
        <w:tc>
          <w:tcPr>
            <w:tcW w:type="dxa" w:w="320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Field-design alignment with the existing MGNREGA inspection form</w:t>
            </w:r>
          </w:p>
        </w:tc>
        <w:tc>
          <w:tcPr>
            <w:tcW w:type="dxa" w:w="3760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DAR_PM_Poshan_Module_V1_0.xlsx</w:t>
            </w:r>
          </w:p>
        </w:tc>
      </w:tr>
    </w:tbl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2026-08-27T05:24:17.711Z</dcterms:created>
  <dcterms:modified xsi:type="dcterms:W3CDTF">2026-08-27T05:24:17.722Z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