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JAL REKHA</w:t>
      </w:r>
    </w:p>
    <w:p>
      <w:pPr>
        <w:spacing w:after="400"/>
        <w:jc w:val="center"/>
      </w:pPr>
      <w:r>
        <w:rPr>
          <w:rFonts w:ascii="Arial" w:cs="Arial" w:eastAsia="Arial" w:hAnsi="Arial"/>
          <w:i/>
          <w:iCs/>
          <w:color w:val="2E5496"/>
          <w:sz w:val="26"/>
          <w:szCs w:val="26"/>
        </w:rPr>
        <w:t xml:space="preserve">Digital Water Supply Governance &amp; Monitoring Platform</w:t>
      </w:r>
    </w:p>
    <w:p>
      <w:pPr>
        <w:pBdr>
          <w:top w:val="single" w:color="BF9000" w:sz="16" w:space="8"/>
        </w:pBdr>
        <w:spacing w:after="100"/>
        <w:jc w:val="center"/>
      </w:pPr>
      <w:r>
        <w:t xml:space="preserve"/>
      </w:r>
    </w:p>
    <w:p>
      <w:pPr>
        <w:spacing w:after="100" w:before="600"/>
        <w:jc w:val="center"/>
      </w:pPr>
      <w:r>
        <w:rPr>
          <w:rFonts w:ascii="Arial" w:cs="Arial" w:eastAsia="Arial" w:hAnsi="Arial"/>
          <w:b/>
          <w:bCs/>
          <w:color w:val="BF9000"/>
          <w:sz w:val="28"/>
          <w:szCs w:val="28"/>
        </w:rPr>
        <w:t xml:space="preserve">Golden Peacock Award for Sustainability (GPAS)</w:t>
      </w:r>
    </w:p>
    <w:p>
      <w:pPr>
        <w:spacing w:after="400"/>
        <w:jc w:val="center"/>
      </w:pPr>
      <w:r>
        <w:rPr>
          <w:rFonts w:ascii="Arial" w:cs="Arial" w:eastAsia="Arial" w:hAnsi="Arial"/>
          <w:b/>
          <w:bCs/>
          <w:color w:val="BF9000"/>
          <w:sz w:val="28"/>
          <w:szCs w:val="28"/>
        </w:rPr>
        <w:t xml:space="preserve">&amp; Golden Peacock Award for ESG (GPAESG)</w:t>
      </w:r>
    </w:p>
    <w:p>
      <w:pPr>
        <w:spacing w:after="60" w:before="200"/>
        <w:jc w:val="center"/>
      </w:pPr>
      <w:r>
        <w:rPr>
          <w:rFonts w:ascii="Arial" w:cs="Arial" w:eastAsia="Arial" w:hAnsi="Arial"/>
          <w:color w:val="1F3864"/>
          <w:sz w:val="22"/>
          <w:szCs w:val="22"/>
        </w:rPr>
        <w:t xml:space="preserve">Summary Note &amp; Guideline-Mapped Readiness Review — Issue 2026</w:t>
      </w:r>
    </w:p>
    <w:p>
      <w:pPr>
        <w:spacing w:after="40" w:before="800"/>
        <w:jc w:val="center"/>
      </w:pPr>
      <w:r>
        <w:rPr>
          <w:rFonts w:ascii="Arial" w:cs="Arial" w:eastAsia="Arial" w:hAnsi="Arial"/>
          <w:sz w:val="20"/>
          <w:szCs w:val="20"/>
        </w:rPr>
        <w:t xml:space="preserve">Prepared by: Mr. Dheeraj Motiyani, Senior Business Analyst</w:t>
      </w:r>
    </w:p>
    <w:p>
      <w:pPr>
        <w:spacing w:after="40"/>
        <w:jc w:val="center"/>
      </w:pPr>
      <w:r>
        <w:rPr>
          <w:rFonts w:ascii="Arial" w:cs="Arial" w:eastAsia="Arial" w:hAnsi="Arial"/>
          <w:sz w:val="20"/>
          <w:szCs w:val="20"/>
        </w:rPr>
        <w:t xml:space="preserve">Reviewed by: Mr. Tapan Khandelwal, Senior Project Manager</w:t>
      </w:r>
    </w:p>
    <w:p>
      <w:pPr>
        <w:spacing w:after="40"/>
        <w:jc w:val="center"/>
      </w:pPr>
      <w:r>
        <w:rPr>
          <w:rFonts w:ascii="Arial" w:cs="Arial" w:eastAsia="Arial" w:hAnsi="Arial"/>
          <w:sz w:val="20"/>
          <w:szCs w:val="20"/>
        </w:rPr>
        <w:t xml:space="preserve">Date: 20 August 2026  |  Version 1.0</w:t>
      </w:r>
    </w:p>
    <w:p>
      <w:r>
        <w:br w:type="page"/>
      </w:r>
    </w:p>
    <w:p>
      <w:pPr>
        <w:sectPr>
          <w:pgSz w:w="12240" w:h="15840" w:orient="portrait"/>
          <w:pgMar w:top="1440" w:right="1440" w:bottom="1440" w:left="1440" w:header="708" w:footer="708" w:gutter="0"/>
          <w:pgNumType/>
          <w:docGrid w:linePitch="360"/>
        </w:sectPr>
      </w:pPr>
    </w:p>
    <w:p>
      <w:pPr>
        <w:pBdr>
          <w:bottom w:val="single" w:color="BF9000" w:sz="12" w:space="4"/>
        </w:pBdr>
        <w:spacing w:after="140" w:before="320"/>
      </w:pPr>
      <w:r>
        <w:rPr>
          <w:rFonts w:ascii="Arial" w:cs="Arial" w:eastAsia="Arial" w:hAnsi="Arial"/>
          <w:b/>
          <w:bCs/>
          <w:color w:val="1F3864"/>
          <w:sz w:val="27"/>
          <w:szCs w:val="27"/>
        </w:rPr>
        <w:t xml:space="preserve">1. Executive Summary</w:t>
      </w:r>
    </w:p>
    <w:p>
      <w:pPr>
        <w:spacing w:after="120"/>
      </w:pPr>
      <w:r>
        <w:rPr>
          <w:rFonts w:ascii="Arial" w:cs="Arial" w:eastAsia="Arial" w:hAnsi="Arial"/>
          <w:sz w:val="20"/>
          <w:szCs w:val="20"/>
        </w:rPr>
        <w:t xml:space="preserve">Jal Rekha is a state-wide digital governance platform for Madhya Pradesh's piped water supply schemes (Government of MP, Public Health Engineering Department / MP Jal Nigam; implemented by MPSeDC/MPSSDI). Reviewed against the Institute of Directors' 2026 GPAS and GPAESG Guidelines-cum-Application Forms, Jal Rekha has strong, directly evidenced content for the Environmental and Social dimensions of both awards — principally through its Nirmal water-quality monitoring module, UFW (Unaccounted-for-Water) tracking, and citizen-facing public dashboards — and reasonably strong Governance content through its structured, role-based, auditable approval workflows.</w:t>
      </w:r>
    </w:p>
    <w:p>
      <w:pPr>
        <w:spacing w:after="120"/>
      </w:pPr>
      <w:r>
        <w:rPr>
          <w:rFonts w:ascii="Arial" w:cs="Arial" w:eastAsia="Arial" w:hAnsi="Arial"/>
          <w:sz w:val="20"/>
          <w:szCs w:val="20"/>
        </w:rPr>
        <w:t xml:space="preserve">The existing internal note (“Golden Peacock Award — ESG and Sustainability”) correctly identifies the platform-level fit but does not yet map that fit against the specific question-by-question structure both Guideline documents require, and does not address a threshold eligibility question: GPAS/GPAESG are awarded to an applicant organization (with a Board, financial statements, and a designated Sustainability/ESG officer), not to a software platform. Jal Rekha would need to be positioned as the flagship digital initiative of a named applicant — most likely MP Jal Nigam Maryadal or MPSeDC — in the same way the reference note positions MP GeoPortal as evidence within a departmental/PSU application, rather than as the applicant itself.</w:t>
      </w:r>
    </w:p>
    <w:p>
      <w:pPr>
        <w:spacing w:after="120"/>
      </w:pPr>
      <w:r>
        <w:rPr>
          <w:rFonts w:ascii="Arial" w:cs="Arial" w:eastAsia="Arial" w:hAnsi="Arial"/>
          <w:sz w:val="20"/>
          <w:szCs w:val="20"/>
        </w:rPr>
        <w:t xml:space="preserve">This note (a) summarizes Jal Rekha's fit against both award guidelines section-by-section, (b) flags which criteria are strongly evidenced today, partially evidenced, or a current gap, and (c) lists the documentation and organizational inputs needed before an application could realistically be filed.</w:t>
      </w:r>
    </w:p>
    <w:p>
      <w:pPr>
        <w:pBdr>
          <w:bottom w:val="single" w:color="BF9000" w:sz="12" w:space="4"/>
        </w:pBdr>
        <w:spacing w:after="140" w:before="320"/>
      </w:pPr>
      <w:r>
        <w:rPr>
          <w:rFonts w:ascii="Arial" w:cs="Arial" w:eastAsia="Arial" w:hAnsi="Arial"/>
          <w:b/>
          <w:bCs/>
          <w:color w:val="1F3864"/>
          <w:sz w:val="27"/>
          <w:szCs w:val="27"/>
        </w:rPr>
        <w:t xml:space="preserve">2. Recommended Award(s) &amp; 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FFF2CC" w:val="clear"/>
            <w:tcMar>
              <w:top w:type="dxa" w:w="80"/>
              <w:left w:type="dxa" w:w="100"/>
              <w:bottom w:type="dxa" w:w="80"/>
              <w:right w:type="dxa" w:w="100"/>
            </w:tcMar>
            <w:vAlign w:val="center"/>
          </w:tcPr>
          <w:p>
            <w:pPr>
              <w:spacing w:after="40"/>
            </w:pPr>
            <w:r>
              <w:rPr>
                <w:rFonts w:ascii="Arial" w:cs="Arial" w:eastAsia="Arial" w:hAnsi="Arial"/>
                <w:sz w:val="18"/>
                <w:szCs w:val="18"/>
              </w:rPr>
              <w:t xml:space="preserve">Project</w:t>
            </w:r>
          </w:p>
        </w:tc>
        <w:tc>
          <w:tcPr>
            <w:tcW w:type="dxa" w:w="6550"/>
            <w:shd w:fill="FFF2CC" w:val="clear"/>
            <w:tcMar>
              <w:top w:type="dxa" w:w="80"/>
              <w:left w:type="dxa" w:w="100"/>
              <w:bottom w:type="dxa" w:w="80"/>
              <w:right w:type="dxa" w:w="100"/>
            </w:tcMar>
            <w:vAlign w:val="center"/>
          </w:tcPr>
          <w:p>
            <w:pPr>
              <w:spacing w:after="40"/>
            </w:pPr>
            <w:r>
              <w:rPr>
                <w:rFonts w:ascii="Arial" w:cs="Arial" w:eastAsia="Arial" w:hAnsi="Arial"/>
                <w:sz w:val="18"/>
                <w:szCs w:val="18"/>
              </w:rPr>
              <w:t xml:space="preserve">Jal Rekha — Digital Water Supply Governance &amp; Monitoring Platform</w:t>
            </w:r>
          </w:p>
        </w:tc>
      </w:tr>
      <w:tr>
        <w:tc>
          <w:tcPr>
            <w:tcW w:type="dxa" w:w="280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Suggested Applicant Organization</w:t>
            </w:r>
          </w:p>
        </w:tc>
        <w:tc>
          <w:tcPr>
            <w:tcW w:type="dxa" w:w="65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MP Jal Nigam Maryadit (or MPSeDC, as implementing agency) — to be confirmed; the applicant must be a legal organization with a Board/Annual Report, not the platform itself (see Section 6).</w:t>
            </w:r>
          </w:p>
        </w:tc>
      </w:tr>
      <w:tr>
        <w:tc>
          <w:tcPr>
            <w:tcW w:type="dxa" w:w="2800"/>
            <w:shd w:fill="FFF2CC" w:val="clear"/>
            <w:tcMar>
              <w:top w:type="dxa" w:w="80"/>
              <w:left w:type="dxa" w:w="100"/>
              <w:bottom w:type="dxa" w:w="80"/>
              <w:right w:type="dxa" w:w="100"/>
            </w:tcMar>
            <w:vAlign w:val="center"/>
          </w:tcPr>
          <w:p>
            <w:pPr>
              <w:spacing w:after="40"/>
            </w:pPr>
            <w:r>
              <w:rPr>
                <w:rFonts w:ascii="Arial" w:cs="Arial" w:eastAsia="Arial" w:hAnsi="Arial"/>
                <w:sz w:val="18"/>
                <w:szCs w:val="18"/>
              </w:rPr>
              <w:t xml:space="preserve">Recommended Categories</w:t>
            </w:r>
          </w:p>
        </w:tc>
        <w:tc>
          <w:tcPr>
            <w:tcW w:type="dxa" w:w="6550"/>
            <w:shd w:fill="FFF2CC" w:val="clear"/>
            <w:tcMar>
              <w:top w:type="dxa" w:w="80"/>
              <w:left w:type="dxa" w:w="100"/>
              <w:bottom w:type="dxa" w:w="80"/>
              <w:right w:type="dxa" w:w="100"/>
            </w:tcMar>
            <w:vAlign w:val="center"/>
          </w:tcPr>
          <w:p>
            <w:pPr>
              <w:spacing w:after="40"/>
            </w:pPr>
            <w:r>
              <w:rPr>
                <w:rFonts w:ascii="Arial" w:cs="Arial" w:eastAsia="Arial" w:hAnsi="Arial"/>
                <w:sz w:val="18"/>
                <w:szCs w:val="18"/>
              </w:rPr>
              <w:t xml:space="preserve">Golden Peacock Award for Sustainability (GPAS) — primary
Golden Peacock Award for ESG (GPAESG) — strong secondary / parallel submission</w:t>
            </w:r>
          </w:p>
        </w:tc>
      </w:tr>
      <w:tr>
        <w:tc>
          <w:tcPr>
            <w:tcW w:type="dxa" w:w="280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Global Variant (optional, per Secretariat discretion)</w:t>
            </w:r>
          </w:p>
        </w:tc>
        <w:tc>
          <w:tcPr>
            <w:tcW w:type="dxa" w:w="65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Golden Peacock Global Award for Sustainability (GPGAS) and Golden Peacock Global Award for ESG (GPGAESG) may also be considered, consistent with how the MP GeoPortal note treats its Global/National dual pathway.</w:t>
            </w:r>
          </w:p>
        </w:tc>
      </w:tr>
      <w:tr>
        <w:tc>
          <w:tcPr>
            <w:tcW w:type="dxa" w:w="2800"/>
            <w:shd w:fill="FFF2CC" w:val="clear"/>
            <w:tcMar>
              <w:top w:type="dxa" w:w="80"/>
              <w:left w:type="dxa" w:w="100"/>
              <w:bottom w:type="dxa" w:w="80"/>
              <w:right w:type="dxa" w:w="100"/>
            </w:tcMar>
            <w:vAlign w:val="center"/>
          </w:tcPr>
          <w:p>
            <w:pPr>
              <w:spacing w:after="40"/>
            </w:pPr>
            <w:r>
              <w:rPr>
                <w:rFonts w:ascii="Arial" w:cs="Arial" w:eastAsia="Arial" w:hAnsi="Arial"/>
                <w:sz w:val="18"/>
                <w:szCs w:val="18"/>
              </w:rPr>
              <w:t xml:space="preserve">Application Fee (each award, per 2026 Guidelines)</w:t>
            </w:r>
          </w:p>
        </w:tc>
        <w:tc>
          <w:tcPr>
            <w:tcW w:type="dxa" w:w="6550"/>
            <w:shd w:fill="FFF2CC" w:val="clear"/>
            <w:tcMar>
              <w:top w:type="dxa" w:w="80"/>
              <w:left w:type="dxa" w:w="100"/>
              <w:bottom w:type="dxa" w:w="80"/>
              <w:right w:type="dxa" w:w="100"/>
            </w:tcMar>
            <w:vAlign w:val="center"/>
          </w:tcPr>
          <w:p>
            <w:pPr>
              <w:spacing w:after="40"/>
            </w:pPr>
            <w:r>
              <w:rPr>
                <w:rFonts w:ascii="Arial" w:cs="Arial" w:eastAsia="Arial" w:hAnsi="Arial"/>
                <w:sz w:val="18"/>
                <w:szCs w:val="18"/>
              </w:rPr>
              <w:t xml:space="preserve">Rs. 69,500 + 18% GST, payable on or before the submission due date; application is not considered without it.</w:t>
            </w:r>
          </w:p>
        </w:tc>
      </w:tr>
      <w:tr>
        <w:tc>
          <w:tcPr>
            <w:tcW w:type="dxa" w:w="280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Page Limits (per 2026 Guidelines)</w:t>
            </w:r>
          </w:p>
        </w:tc>
        <w:tc>
          <w:tcPr>
            <w:tcW w:type="dxa" w:w="65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Annexure 2 – Business Overview: 4–5 pages. Annexure 3 – Self-Appraisal Report: 50–70 pages, answered sequentially and point-wise against every question.</w:t>
            </w:r>
          </w:p>
        </w:tc>
      </w:tr>
    </w:tbl>
    <w:p>
      <w:pPr>
        <w:spacing w:before="200"/>
      </w:pPr>
    </w:p>
    <w:p>
      <w:pPr>
        <w:pBdr>
          <w:bottom w:val="single" w:color="BF9000" w:sz="12" w:space="4"/>
        </w:pBdr>
        <w:spacing w:after="140" w:before="320"/>
      </w:pPr>
      <w:r>
        <w:rPr>
          <w:rFonts w:ascii="Arial" w:cs="Arial" w:eastAsia="Arial" w:hAnsi="Arial"/>
          <w:b/>
          <w:bCs/>
          <w:color w:val="1F3864"/>
          <w:sz w:val="27"/>
          <w:szCs w:val="27"/>
        </w:rPr>
        <w:t xml:space="preserve">3. Why Jal Rekha Is a Strong Fit</w:t>
      </w:r>
    </w:p>
    <w:p>
      <w:pPr>
        <w:spacing w:after="100" w:before="220"/>
      </w:pPr>
      <w:r>
        <w:rPr>
          <w:rFonts w:ascii="Arial" w:cs="Arial" w:eastAsia="Arial" w:hAnsi="Arial"/>
          <w:b/>
          <w:bCs/>
          <w:color w:val="2E5496"/>
          <w:sz w:val="22"/>
          <w:szCs w:val="22"/>
        </w:rPr>
        <w:t xml:space="preserve">Environmental &amp; Public-Health Impact</w:t>
      </w:r>
    </w:p>
    <w:p>
      <w:pPr>
        <w:pStyle w:val="ListParagraph"/>
        <w:numPr>
          <w:ilvl w:val="0"/>
          <w:numId w:val="1"/>
        </w:numPr>
        <w:spacing w:after="80"/>
      </w:pPr>
      <w:r>
        <w:rPr>
          <w:rFonts w:ascii="Arial" w:cs="Arial" w:eastAsia="Arial" w:hAnsi="Arial"/>
          <w:sz w:val="20"/>
          <w:szCs w:val="20"/>
        </w:rPr>
        <w:t xml:space="preserve">Directly supports SDG 6 (Clean Water and Sanitation): the Nirmal module tracks drinking-water quality testing across both rural water supply schemes and urban water/sanitation programs (AMRUT, MPUAAD, MPUDC), giving public-health authorities a unified, early-warning view of contamination risk that did not previously exist across these jurisdictions.</w:t>
      </w:r>
    </w:p>
    <w:p>
      <w:pPr>
        <w:pStyle w:val="ListParagraph"/>
        <w:numPr>
          <w:ilvl w:val="0"/>
          <w:numId w:val="1"/>
        </w:numPr>
        <w:spacing w:after="80"/>
      </w:pPr>
      <w:r>
        <w:rPr>
          <w:rFonts w:ascii="Arial" w:cs="Arial" w:eastAsia="Arial" w:hAnsi="Arial"/>
          <w:sz w:val="20"/>
          <w:szCs w:val="20"/>
        </w:rPr>
        <w:t xml:space="preserve">UFW (Unaccounted-for-Water) tracking within O&amp;M Billing directly targets water-loss reduction, a core environmental/resource-efficiency metric relevant to GPAS Section C (Environmental Concerns – Water) and GPAESG Section C (Environmental Framework).</w:t>
      </w:r>
    </w:p>
    <w:p>
      <w:pPr>
        <w:pStyle w:val="ListParagraph"/>
        <w:numPr>
          <w:ilvl w:val="0"/>
          <w:numId w:val="1"/>
        </w:numPr>
        <w:spacing w:after="80"/>
      </w:pPr>
      <w:r>
        <w:rPr>
          <w:rFonts w:ascii="Arial" w:cs="Arial" w:eastAsia="Arial" w:hAnsi="Arial"/>
          <w:sz w:val="20"/>
          <w:szCs w:val="20"/>
        </w:rPr>
        <w:t xml:space="preserve">Public dashboards (DWSR – Daily/Monthly Water Supply Reports) provide open, no-login transparency on water supply performance — evidences public disclosure practices relevant to GPAS Section K / GPAESG Section D (Reporting &amp; Disclosures).</w:t>
      </w:r>
    </w:p>
    <w:p>
      <w:pPr>
        <w:spacing w:after="100" w:before="220"/>
      </w:pPr>
      <w:r>
        <w:rPr>
          <w:rFonts w:ascii="Arial" w:cs="Arial" w:eastAsia="Arial" w:hAnsi="Arial"/>
          <w:b/>
          <w:bCs/>
          <w:color w:val="2E5496"/>
          <w:sz w:val="22"/>
          <w:szCs w:val="22"/>
        </w:rPr>
        <w:t xml:space="preserve">Social &amp; Governance Impact</w:t>
      </w:r>
    </w:p>
    <w:p>
      <w:pPr>
        <w:pStyle w:val="ListParagraph"/>
        <w:numPr>
          <w:ilvl w:val="0"/>
          <w:numId w:val="1"/>
        </w:numPr>
        <w:spacing w:after="80"/>
      </w:pPr>
      <w:r>
        <w:rPr>
          <w:rFonts w:ascii="Arial" w:cs="Arial" w:eastAsia="Arial" w:hAnsi="Arial"/>
          <w:sz w:val="20"/>
          <w:szCs w:val="20"/>
        </w:rPr>
        <w:t xml:space="preserve">Sahbhagita formalizes community/NGO participation in rural water-awareness activities with photo/document evidence and multi-level approval — relevant to GPAS Section D (Social Dimension) and GPAESG Section B (Social Framework).</w:t>
      </w:r>
    </w:p>
    <w:p>
      <w:pPr>
        <w:pStyle w:val="ListParagraph"/>
        <w:numPr>
          <w:ilvl w:val="0"/>
          <w:numId w:val="1"/>
        </w:numPr>
        <w:spacing w:after="80"/>
      </w:pPr>
      <w:r>
        <w:rPr>
          <w:rFonts w:ascii="Arial" w:cs="Arial" w:eastAsia="Arial" w:hAnsi="Arial"/>
          <w:sz w:val="20"/>
          <w:szCs w:val="20"/>
        </w:rPr>
        <w:t xml:space="preserve">Structured, role-based, auditable workflows (Contractor → GM → SQC → higher officials) with mandatory document checks and e-signature integration evidence strong internal-control and governance discipline — relevant to GPAS Section A (Corporate Governance) and GPAESG Section A (Governance Framework).</w:t>
      </w:r>
    </w:p>
    <w:p>
      <w:pPr>
        <w:pStyle w:val="ListParagraph"/>
        <w:numPr>
          <w:ilvl w:val="0"/>
          <w:numId w:val="1"/>
        </w:numPr>
        <w:spacing w:after="80"/>
      </w:pPr>
      <w:r>
        <w:rPr>
          <w:rFonts w:ascii="Arial" w:cs="Arial" w:eastAsia="Arial" w:hAnsi="Arial"/>
          <w:sz w:val="20"/>
          <w:szCs w:val="20"/>
        </w:rPr>
        <w:t xml:space="preserve">Cube &amp; Material Testing's mandatory re-inspection loop, and the AI-based FHTC tap-connection verification model (YOLO-based computer vision with LLM-assisted validation), demonstrate genuine process innovation in fraud/verification-risk mitigation — directly answers GPAS Section H.6 / GPAESG-adjacent “Is AI being used to improve organizational performance?” questions, which both 2026 Guidelines ask explicitly.</w:t>
      </w:r>
    </w:p>
    <w:p>
      <w:pPr>
        <w:pStyle w:val="ListParagraph"/>
        <w:numPr>
          <w:ilvl w:val="0"/>
          <w:numId w:val="1"/>
        </w:numPr>
        <w:spacing w:after="80"/>
      </w:pPr>
      <w:r>
        <w:rPr>
          <w:rFonts w:ascii="Arial" w:cs="Arial" w:eastAsia="Arial" w:hAnsi="Arial"/>
          <w:sz w:val="20"/>
          <w:szCs w:val="20"/>
        </w:rPr>
        <w:t xml:space="preserve">CMMI Level 5–certified development process is a differentiator that few state government platforms can currently evidence, and supports answers on process discipline and continuous improvement (GPAS Section H).</w:t>
      </w:r>
    </w:p>
    <w:p>
      <w:pPr>
        <w:pBdr>
          <w:bottom w:val="single" w:color="BF9000" w:sz="12" w:space="4"/>
        </w:pBdr>
        <w:spacing w:after="140" w:before="320"/>
      </w:pPr>
      <w:r>
        <w:rPr>
          <w:rFonts w:ascii="Arial" w:cs="Arial" w:eastAsia="Arial" w:hAnsi="Arial"/>
          <w:b/>
          <w:bCs/>
          <w:color w:val="1F3864"/>
          <w:sz w:val="27"/>
          <w:szCs w:val="27"/>
        </w:rPr>
        <w:t xml:space="preserve">4. GPAS — Self-Appraisal Report, Answered Section-by-Section</w:t>
      </w:r>
    </w:p>
    <w:p>
      <w:pPr>
        <w:shd w:fill="1F3864" w:val="clear"/>
        <w:spacing w:after="40" w:before="260"/>
      </w:pPr>
      <w:r>
        <w:rPr>
          <w:rFonts w:ascii="Arial" w:cs="Arial" w:eastAsia="Arial" w:hAnsi="Arial"/>
          <w:b/>
          <w:bCs/>
          <w:color w:val="FFFFFF"/>
          <w:sz w:val="21"/>
          <w:szCs w:val="21"/>
        </w:rPr>
        <w:t xml:space="preserve">SECTION A — CORPORATE GOVERNANCE</w:t>
      </w:r>
    </w:p>
    <w:p>
      <w:pPr>
        <w:spacing w:after="140"/>
      </w:pPr>
      <w:r>
        <w:rPr>
          <w:rFonts w:ascii="Arial" w:cs="Arial" w:eastAsia="Arial" w:hAnsi="Arial"/>
          <w:i/>
          <w:iCs/>
          <w:color w:val="595959"/>
          <w:sz w:val="18"/>
          <w:szCs w:val="18"/>
        </w:rPr>
        <w:t xml:space="preserve">[To provide a high-level, strategic view of the organization’s sustainability.]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A.1 Locations of major operations relevant to the report</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Statewide across Madhya Pradesh — rural piped water supply schemes and urban water/sanitation programs (AMRUT, MPUAAD, MPUDC jurisdictions), administered from Bhopal/Indore project offices.</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A.2 Markets served (geography, sectors, customer/beneficiary types)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Government-to-citizen service across all MP districts; beneficiaries are rural and urban households (Jal Jeevan Mission FHTC beneficiaries), PHED/Jal Nigam field staff, contractors/firms, and the general public via open dashboards.</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A.3 Governance structure incl. major committees under the highest governance body</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Jal Rekha itself runs on a structured role hierarchy (Contractor → GM → SQC/TPIA → higher officials) with monthly MD-level project reviews; a formal Board-level committee structure is an applicant-organization input.</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A.4 Board size, independent/women director %, current Board composition</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(Board composition is not applicable to a platform and must come from MP Jal Nigam/MPSeDC)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A.5 Existence of a Board Sustainability/ESG Committee and its members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(Sustainability/ESG Committee membership)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A.6 Existence of a Sustainability/ESG Policy and designated sustainability officer</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(written Sustainability/ESG Policy and officer designation)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A.7 Approach to stakeholder engagement (frequency, type, group)</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Sahbhagita formalizes structured community/NGO engagement with documented activity tracking; monthly MD-level reviews and MoMs evidence internal stakeholder engagement cadence.</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A.8 Senior leader’s statement on sustainability relevance/strategy (with non-AI-generation certificate)</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(a signed statement from the applicant’s senior-most official, with the required non-AI certificate)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A.9 Latest corporate Annual Report</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(the applicant organization’s Annual Report)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A.10 Sustainability Report per GRI-4 guidelines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(a GRI-aligned Sustainability Report, if one exists)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A.11 Whistleblower policy</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(the applicant’s whistleblower policy)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A.12 Enterprise Risk Management framework/policy and review cadence</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Jal Rekha's mandatory document checks, re-inspection loops, and master-data locking are operational risk controls; a formal ERM policy statement is an applicant-level input.</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A.13 Board’s time spent tracking technology/capability</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(Board-level technology-tracking minutes)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B — FINANCIAL PERSPECTIVE</w:t>
      </w:r>
    </w:p>
    <w:p>
      <w:pPr>
        <w:spacing w:after="140"/>
      </w:pPr>
      <w:r>
        <w:rPr>
          <w:rFonts w:ascii="Arial" w:cs="Arial" w:eastAsia="Arial" w:hAnsi="Arial"/>
          <w:i/>
          <w:iCs/>
          <w:color w:val="595959"/>
          <w:sz w:val="18"/>
          <w:szCs w:val="18"/>
        </w:rPr>
        <w:t xml:space="preserve">[The economic dimension of sustainability concerns, and the organization’s impact on the economic conditions of its stakeholders.]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B.1 Financial implications/risks/opportunities incl. social &amp; climate dimension, quantified</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O&amp;M Billing's mandatory document checks, penalty/relaxation logic tied to service performance, and UFW tracking reduce billing leakage and water-loss financial risk; two years of quantified figures need to be compiled from finance records.</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B.2 Impact of public-benefit infrastructure investment/services, quantified</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Jal Rekha itself is public-benefit digital infrastructure (Jal Jeevan Mission FHTC verification, statewide water-quality monitoring); a quantified impact figure (e.g., households/habitations covered) should be compiled for this answer.</w:t>
            </w:r>
          </w:p>
        </w:tc>
      </w:tr>
    </w:tbl>
    <w:p>
      <w:pPr>
        <w:spacing w:after="120"/>
      </w:pPr>
    </w:p>
    <w:p>
      <w:pPr>
        <w:shd w:fill="1F3864" w:val="clear"/>
        <w:spacing w:after="40" w:before="260"/>
      </w:pPr>
      <w:r>
        <w:rPr>
          <w:rFonts w:ascii="Arial" w:cs="Arial" w:eastAsia="Arial" w:hAnsi="Arial"/>
          <w:b/>
          <w:bCs/>
          <w:color w:val="FFFFFF"/>
          <w:sz w:val="21"/>
          <w:szCs w:val="21"/>
        </w:rPr>
        <w:t xml:space="preserve">SECTION C — ENVIRONMENTAL CONCERNS</w:t>
      </w:r>
    </w:p>
    <w:p>
      <w:pPr>
        <w:spacing w:after="140"/>
      </w:pPr>
      <w:r>
        <w:rPr>
          <w:rFonts w:ascii="Arial" w:cs="Arial" w:eastAsia="Arial" w:hAnsi="Arial"/>
          <w:i/>
          <w:iCs/>
          <w:color w:val="595959"/>
          <w:sz w:val="18"/>
          <w:szCs w:val="18"/>
        </w:rPr>
        <w:t xml:space="preserve">[The environmental dimension of sustainability concerns the organization’s impact on living and non-living natural systems including ecosystems, land, air, and water.]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C.1 Materials: quantity/cost/% refused, recycled, reused, reduced, repurposed</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applicable in the standard manufacturing sense; recommend answering NA with justification (Jal Rekha is a digital governance service, not a materials-processing operation).</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C.2 Energy: direct consumption by source, % renewable, efficiency initiatives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(energy consumption data for hosting/data-centre operations, if tracked separately)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C.3 Water: consumption &amp; sources, groundwater impact, % recycled/reused, reduction impact</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Strongly evidenced: Dhara standardises meter-reading (Intake/WTP/OHT) across web and mobile with GM-level approval; O&amp;M Billing's UFW (Unaccounted-for-Water) tracking directly targets water-loss reduction — the platform's core environmental data source.</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C.4 Emissions/Effluents/Waste: GHG emissions, reduction initiatives, waste by type &amp; disposal, carbon-footprint reduction</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(GHG/emissions and waste-disposal data, which sits with facilities/operations, not the software platform)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C.5 Products/Services: life-cycle environmental impact mitigation, quantified</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Cube &amp; Material Testing's re-inspection loop and FHTC AI verification improve construction-quality and connection-verification integrity across the service life-cycle; quantified mitigation extent should be compiled from production data.</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C.6 Compliance: fines/sanctions for environmental non-compliance</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(any environmental compliance fines/sanctions record)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C.7 Waste-into-wealth initiatives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(any waste-into-wealth initiative outside Jal Rekha's current scope)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D — SOCIAL DIMENSION OF SUSTAINABILITY CONCERNS</w:t>
      </w:r>
    </w:p>
    <w:p>
      <w:pPr>
        <w:spacing w:after="140"/>
      </w:pPr>
      <w:r>
        <w:rPr>
          <w:rFonts w:ascii="Arial" w:cs="Arial" w:eastAsia="Arial" w:hAnsi="Arial"/>
          <w:i/>
          <w:iCs/>
          <w:color w:val="595959"/>
          <w:sz w:val="18"/>
          <w:szCs w:val="18"/>
        </w:rPr>
        <w:t xml:space="preserve">[The social dimension of sustainability concerns the impact an organization has on the social systems within which it operates.]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D.1 OH&amp;S: committee coverage %, injury/fatality rates, education programs, union H&amp;S agreements, OHSAS 18001/ISO 45001 certification, % women workforce</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(occupational health &amp; safety data and certifications, which are applicant-level HR records)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D.2 Training &amp; Education: avg hours/employee, skill/lifelong-learning programs, % receiving performance reviews, % trained on digital systems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Field/contractor users are trained on Jal Rekha's role-based digital workflows (implied by structured logins and the Selenium-automated User &amp; Role Management test suite); formal training-hour statistics need to be compiled by HR.</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D.3 Disaster Management Plan existence &amp; last simulation exercise outcome</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(the applicant’s Disaster Management Plan and drill records)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E — HUMAN RIGHTS CONCERNS</w:t>
      </w:r>
    </w:p>
    <w:p>
      <w:pPr>
        <w:spacing w:after="140"/>
      </w:pPr>
      <w:r>
        <w:rPr>
          <w:rFonts w:ascii="Arial" w:cs="Arial" w:eastAsia="Arial" w:hAnsi="Arial"/>
          <w:i/>
          <w:iCs/>
          <w:color w:val="595959"/>
          <w:sz w:val="18"/>
          <w:szCs w:val="18"/>
        </w:rPr>
        <w:t xml:space="preserve">[Human Rights Performance requires organizations to report on the extent to which human rights are considered in investment and supplier/contractor selection, and covers non-discrimination, freedom of association, child labour, and forced labour.]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E.1 Discrimination incidents &amp; actions taken</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(discrimination incident records)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E.2 Operations at risk on freedom of association/collective bargaining &amp; actions taken</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(collective-bargaining risk assessment)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F — SOCIETY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F.1 Impact-on-local-communities programs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Sahbhagita's structured community/NGO participation and activity tracking (with photo/document evidence and multi-level approval) is the platform's clearest society-impact evidence.</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F.2 CSR: % of profit spent (2 yrs), major projects, social impact evaluation</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CSR-as-%-of-profit is a private-sector-style metric not directly applicable to a government platform; recommend reframing around public expenditure/coverage impact, or answering NA with justification.</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F.3 Compliance fines/sanctions; ESG rating impact</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(compliance fine and ESG-rating records)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G — PRODUCT RESPONSIBILITY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G.1 Customer health &amp; safety: life-cycle assessment stages, non-compliance incidents, legal/fiduciary loss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Strongly evidenced: Cube &amp; Material Testing enforces photo-evidence capture, SQC/TPIA verification and a mandatory re-inspection loop before construction-quality sign-off; FHTC AI verification replaces manual photo review with an auditable, tamper-resistant layer.</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G.2 Product/service labeling: environmental info provided, non-compliance incidents, customer satisfaction practices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Public DWSR dashboards provide open, no-login water-supply reporting to citizens; formal customer-satisfaction survey data is not currently part of the platform and would need to be introduced.</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G.3 Marketing communications: compliance programs, non-compliance incidents, fines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Largely Not Applicable to a government utility platform (no advertising/promotion/sponsorship activity); recommend NA with justification.</w:t>
            </w:r>
          </w:p>
        </w:tc>
      </w:tr>
    </w:tbl>
    <w:p>
      <w:pPr>
        <w:spacing w:after="120"/>
      </w:pPr>
    </w:p>
    <w:p>
      <w:pPr>
        <w:shd w:fill="1F3864" w:val="clear"/>
        <w:spacing w:after="40" w:before="260"/>
      </w:pPr>
      <w:r>
        <w:rPr>
          <w:rFonts w:ascii="Arial" w:cs="Arial" w:eastAsia="Arial" w:hAnsi="Arial"/>
          <w:b/>
          <w:bCs/>
          <w:color w:val="FFFFFF"/>
          <w:sz w:val="21"/>
          <w:szCs w:val="21"/>
        </w:rPr>
        <w:t xml:space="preserve">SECTION H — PROCESS, TECHNOLOGY AND PEOPLE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H.1 Environmental/social/financial awareness embedded at all workforce levels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Role-based logins and mandatory workflow steps (document checks, e-sign, re-inspection) embed compliance discipline at every operational level from Contractor to higher officials.</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H.2 Pollution-prevention process redesign / inventory / production / life-cycle initiatives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The Cube/Material Testing re-inspection loop and O&amp;M Billing's UFW-driven penalty logic are process redesigns aimed at resource-loss reduction, the closest available analogue to pollution-prevention redesign for a water-services platform.</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H.3 Technology investment effectiveness: pollution control, resource efficiency, financial parameters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UFW tracking (resource efficiency) and O&amp;M Billing's mandatory-document-and-penalty logic (financial control) are directly measurable technology-driven improvements; quantified before/after figures should be compiled for full marks.</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H.4 Role of training/reskilling in sustainability improvement</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Structured, role-based digital workflows require and reinforce ongoing user reskilling (Contractor, GM, SQC, TPIA, FE roles); formal reskilling-hours data should be compiled by HR.</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H.5 Innovation in risk-management strategies for sustainability</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Mandatory re-inspection loops, master-data locking once linked to live transactions, and AI-based FHTC verification are genuine risk-management innovations directly reducing fraud, billing-leakage and construction-quality risk.</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H.6 AI usage to improve sustainability performance</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Strongly evidenced: a YOLO-based computer-vision model (with LLM-assisted validation and blur-robust fine-tuning) automatically detects and verifies genuine tap connections and beneficiary presence from field photos, directly strengthening the integrity of Jal Jeevan Mission FHTC saturation claims.</w:t>
            </w:r>
          </w:p>
        </w:tc>
      </w:tr>
    </w:tbl>
    <w:p>
      <w:pPr>
        <w:spacing w:after="120"/>
      </w:pPr>
    </w:p>
    <w:p>
      <w:pPr>
        <w:shd w:fill="1F3864" w:val="clear"/>
        <w:spacing w:after="40" w:before="260"/>
      </w:pPr>
      <w:r>
        <w:rPr>
          <w:rFonts w:ascii="Arial" w:cs="Arial" w:eastAsia="Arial" w:hAnsi="Arial"/>
          <w:b/>
          <w:bCs/>
          <w:color w:val="FFFFFF"/>
          <w:sz w:val="21"/>
          <w:szCs w:val="21"/>
        </w:rPr>
        <w:t xml:space="preserve">SECTION I — BOARD’S ROLE IN PROMOTING SUSTAINABILITY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I.1 ESG priority on Board agenda</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(Board meeting agendas)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I.2 Board’s role driving leadership for excellence &amp; innovation</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Monthly MD-level project reviews (with the PM, Sr. BA and department heads present) could be cited as leadership-oversight evidence, but would need to be reframed explicitly as Board-level oversight for this answer.</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I.3 Governance/risk/security/compliance reaching Board agenda; alignment with internal controls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(Board-level governance/risk/compliance agenda records)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I.4 Board’s CSR priority-setting process &amp; project types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(Board CSR priority-setting minutes)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I.5 Board monitoring of environment governance &amp; climate-change indicators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(Board-level environment/climate monitoring records)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I.6 Board’s steps to assess employee emotional intelligence</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(any employee emotional-intelligence assessment programme)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J — SDG TARGETS AND PERFORMANCE 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J.1 Which SDGs are pursued, targets, and achievements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SDG 6 (Clean Water and Sanitation) is strongly evidenced via Nirmal's cross-department water-quality monitoring and Dhara/UFW tracking; explicit numeric targets (e.g., % UFW reduction, habitations covered) still need to be defined for a complete answer.</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J.2 On track for zero-carbon-footprint-by-2050</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(a carbon-neutrality roadmap, which has not yet been defined)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K — PERFORMANCE 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K.1 Sustainability Materiality Matrix; inclusion in Business Responsibility Reporting to SEBI</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applicable in the standard sense (no SEBI filing for a government department); recommend NA with justification, citing the platform's own public DWSR reporting as an analogous disclosure mechanism.</w:t>
            </w:r>
          </w:p>
        </w:tc>
      </w:tr>
    </w:tbl>
    <w:p>
      <w:pPr>
        <w:spacing w:after="120"/>
      </w:pPr>
    </w:p>
    <w:p>
      <w:pPr>
        <w:shd w:fill="1F3864" w:val="clear"/>
        <w:spacing w:after="40" w:before="260"/>
      </w:pPr>
      <w:r>
        <w:rPr>
          <w:rFonts w:ascii="Arial" w:cs="Arial" w:eastAsia="Arial" w:hAnsi="Arial"/>
          <w:b/>
          <w:bCs/>
          <w:color w:val="FFFFFF"/>
          <w:sz w:val="21"/>
          <w:szCs w:val="21"/>
        </w:rPr>
        <w:t xml:space="preserve">SECTION L — OTHER INITIATIVES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L.1 AI usage to improve organizational performance against sustainability parameters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Same strong evidence as H.6 — the FHTC AI tap-connection verification model; may also reference the CMMI Level 5–certified development process as a broader AI/process-maturity initiative.</w:t>
            </w:r>
          </w:p>
        </w:tc>
      </w:tr>
    </w:tbl>
    <w:p>
      <w:pPr>
        <w:spacing w:after="120"/>
      </w:pPr>
    </w:p>
    <w:p>
      <w:pPr>
        <w:pBdr>
          <w:bottom w:val="single" w:color="BF9000" w:sz="12" w:space="4"/>
        </w:pBdr>
        <w:spacing w:after="140" w:before="320"/>
      </w:pPr>
      <w:r>
        <w:rPr>
          <w:rFonts w:ascii="Arial" w:cs="Arial" w:eastAsia="Arial" w:hAnsi="Arial"/>
          <w:b/>
          <w:bCs/>
          <w:color w:val="1F3864"/>
          <w:sz w:val="27"/>
          <w:szCs w:val="27"/>
        </w:rPr>
        <w:t xml:space="preserve">5. GPAESG — Self-Appraisal Report, Answered Section-by-Section</w:t>
      </w:r>
    </w:p>
    <w:p>
      <w:pPr>
        <w:shd w:fill="1F3864" w:val="clear"/>
        <w:spacing w:after="40" w:before="260"/>
      </w:pPr>
      <w:r>
        <w:rPr>
          <w:rFonts w:ascii="Arial" w:cs="Arial" w:eastAsia="Arial" w:hAnsi="Arial"/>
          <w:b/>
          <w:bCs/>
          <w:color w:val="FFFFFF"/>
          <w:sz w:val="21"/>
          <w:szCs w:val="21"/>
        </w:rPr>
        <w:t xml:space="preserve">SECTION A — GOVERNANCE FRAMEWORK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A.1 Board/committee composition &amp; terms of reference</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(Board and committee composition and terms of reference)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A.2 External experts invited to board/committee meetings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(Board meeting attendee records)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A.3 Director-requested vs company-organized training</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(director training records)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A.4 Capacity-building encouragement</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Jal Rekha's structured role-based workflows and the Selenium-automated regression suite reflect ongoing capability building at the operational level; Board-level capacity-building policy is an applicant input.</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A.5 Conflict-of-interest prevention/resolution mechanisms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(conflict-of-interest policy)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A.6 Succession planning, whistleblower, cyber security, insider-trading policies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(these four Board-level policies)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A.7 Grievance redressal mechanism: avg complaints/yr, % unresolved</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O&amp;M Billing's Contractor Dispute / Dhara-data-discrepancy window is a structured, time-bound grievance mechanism within the platform; organization-wide complaint statistics are an applicant-level input.</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A.8 Related-party-transaction proportion (2 yrs)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(related-party-transaction disclosures)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A.9 CEO/Chair role separation</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(this governance detail)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A.10 Director/auditor resignation incidents &amp; reasons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(resignation records)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B — SOCIAL FRAMEWORK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B.1 Anti-discrimination/diversity/training/child-labour approach (incl. suppliers/clients)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(workforce policy statements)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B.2 Workplace safety policies/practices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(workplace safety policy)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B.3 Workplace accidents (2 yrs) &amp; handling</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(incident records)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B.4 Employee welfare schemes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(welfare scheme details)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B.5 Work culture measures: work-life balance, harassment, feedback, recognition</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(work-culture programme details)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B.6 Sexual harassment incidents (2 yrs) &amp; handling</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(incident records)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B.7 Community engagement/philanthropic initiatives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Sahbhagita is directly relevant: structured community/NGO participation in rural water-awareness activities, with photo/document evidence and multi-level approval.</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B.8 Data privacy: policy, breach complaints, major breaches, ransomware incidents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Role-based access control and mandatory audit logging across Jal Rekha's login hierarchy are relevant technical evidence for data-privacy-by-design; a formal data-privacy policy statement and breach/complaint history are applicant-level inputs.</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B.9 Disaster Management Plan</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(the Disaster Management Plan)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B.10 Director attendance/contribution days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(director attendance records)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C — ENVIRONMENTAL FRAMEWORK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C.1 Carbon footprint assessment &amp; carbon-neutrality steps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(a formal carbon-footprint assessment)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C.2 Environment/climate risk identification &amp; mitigation tracking</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Nirmal's cross-department water-quality monitoring (rural + urban, AMRUT/MPUAAD/MPUDC) gives early-warning visibility on contamination risk; a formal climate-risk tracking framework with financial-implication figures still needs to be developed.</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C.3 Circular economy / EPR approach &amp; framework</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(a circular-economy/EPR framework, not currently in scope)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C.4 Sustainable supply chain framework</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(a supply-chain sustainability framework)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C.5 Carbon credit trading</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(carbon-credit trading history, likely Not Applicable)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C.6 Waste treatment, particularly e-waste</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(waste/e-waste treatment data)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D — REPORTING &amp; DISCLOSURES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D.1 Public ESG reporting: format, framework used (BRSR/SASB/GRI), oversight, responsible team, data collection method</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Public DWSR dashboards are genuine, directly relevant disclosure practice (open, no-login water-supply reporting); alignment to a recognized ESG framework (BRSR/GRI) is not yet established and should be confirmed with the applicant.</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D.2 Latest ESG/sustainability report</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(a standalone ESG/Sustainability report, if one exists)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D.3 ISO certifications (9001/14001/50001/45001)</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(ISO certification status)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D.4 Disclosure-related lapses (past year)</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(disclosure-lapse records)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D.5 Assurance of reporting accuracy; supporting case studies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Jal Rekha's audit-logged, role-based approval workflows and CMMI Level 5–certified development process are relevant process-integrity evidence supporting reporting accuracy claims.</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D.6 Audit qualifications (2 yrs)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(financial/secretarial audit records)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D.7 CSR impact assessment report</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(a CSR impact assessment report, if one exists)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E — ESG INTEGRATION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E.1 ESG KPIs identified</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Water-loss (UFW %) and water-quality-testing coverage are natural candidate ESG KPIs already tracked operationally by Jal Rekha; a formal KPI set has not yet been defined at the organization level.</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E.2 Dedicated ESG budget</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(ESG budget allocation)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E.3 Executive compensation linked to ESG goals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(executive compensation policy)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E.4 ESG governance structure (Board committees/consultants) &amp; oversight</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(ESG governance structure)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E.5 ESG management structure (CSOs/teams)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(ESG management structure)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E.6 CSR integration: in-house vs external, this year’s focus areas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(CSR integration details) to be supplied by MP Jal Nigam / MPSeDC administration before filing.</w:t>
            </w:r>
          </w:p>
        </w:tc>
      </w:tr>
    </w:tbl>
    <w:p>
      <w:pPr>
        <w:spacing w:after="120"/>
      </w:pPr>
    </w:p>
    <w:p>
      <w:pPr>
        <w:shd w:fill="1F3864" w:val="clear"/>
        <w:spacing w:after="40" w:before="260"/>
      </w:pPr>
      <w:r>
        <w:rPr>
          <w:rFonts w:ascii="Arial" w:cs="Arial" w:eastAsia="Arial" w:hAnsi="Arial"/>
          <w:b/>
          <w:bCs/>
          <w:color w:val="FFFFFF"/>
          <w:sz w:val="21"/>
          <w:szCs w:val="21"/>
        </w:rPr>
        <w:t xml:space="preserve">SECTION F — STATUS AND IMPACT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F.1 % female workforce</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(workforce demographic data)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F.2 % female in leadership</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(leadership demographic data)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F.3 Insurance Claim Settlement Ratio</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(insurance claims data, if applicable)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F.4 % differently-abled/LGBTQIA+ employees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(workforce demographic data)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F.5 Employee Retention Rate</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(HR retention data)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F.6 % profit dedicated to CSR</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(CSR spend data)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F.7 % sustainably sourced energy (2 yrs)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(energy-sourcing data)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F.8 Carbon emissions: Scope I / II / III</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(emissions data) to be supplied by MP Jal Nigam / MPSeDC administration before filing.</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F.9–F.11 Waste generated / recycled / responsibly disposed (tonnes)</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Not directly evidenced by Jal Rekha platform material; this is an applicant-organization-level input (waste volume data) to be supplied by MP Jal Nigam / MPSeDC administration before filing.</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F.12 Water usage (litres)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Partially evidenced: Dhara meter-reading and O&amp;M Billing's UFW tracking capture water-supply volumes; these should be compiled into a litres-per-year figure for this answer.</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F.13 Any other</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Suggested addition: FHTC saturation verification rate (AI-confirmed genuine tap connections) as a Jal Rekha–specific impact metric.</w:t>
            </w:r>
          </w:p>
        </w:tc>
      </w:tr>
    </w:tbl>
    <w:p>
      <w:pPr>
        <w:spacing w:after="120"/>
      </w:pPr>
    </w:p>
    <w:p>
      <w:pPr>
        <w:shd w:fill="1F3864" w:val="clear"/>
        <w:spacing w:after="40" w:before="260"/>
      </w:pPr>
      <w:r>
        <w:rPr>
          <w:rFonts w:ascii="Arial" w:cs="Arial" w:eastAsia="Arial" w:hAnsi="Arial"/>
          <w:b/>
          <w:bCs/>
          <w:color w:val="FFFFFF"/>
          <w:sz w:val="21"/>
          <w:szCs w:val="21"/>
        </w:rPr>
        <w:t xml:space="preserve">SECTION G — GENERAL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rPr>
          <w:tblHeader/>
        </w:trPr>
        <w:tc>
          <w:tcPr>
            <w:tcW w:type="dxa" w:w="370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Guideline Question</w:t>
            </w:r>
          </w:p>
        </w:tc>
        <w:tc>
          <w:tcPr>
            <w:tcW w:type="dxa" w:w="5650"/>
            <w:shd w:fill="1F3864" w:val="clear"/>
            <w:tcMar>
              <w:top w:type="dxa" w:w="80"/>
              <w:left w:type="dxa" w:w="100"/>
              <w:bottom w:type="dxa" w:w="80"/>
              <w:right w:type="dxa" w:w="100"/>
            </w:tcMar>
            <w:vAlign w:val="center"/>
          </w:tcPr>
          <w:p>
            <w:pPr>
              <w:spacing w:after="40"/>
            </w:pPr>
            <w:r>
              <w:rPr>
                <w:rFonts w:ascii="Arial" w:cs="Arial" w:eastAsia="Arial" w:hAnsi="Arial"/>
                <w:b/>
                <w:bCs/>
                <w:color w:val="FFFFFF"/>
                <w:sz w:val="18"/>
                <w:szCs w:val="18"/>
              </w:rPr>
              <w:t xml:space="preserve">Jal Rekha / Applicant Response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G.1 Self-rated ESG performance (1–10)</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To be assigned by the applicant organization once the Section E/F data gaps above are closed — not a figure the platform team should set unilaterally.</w:t>
            </w:r>
          </w:p>
        </w:tc>
      </w:tr>
      <w:tr>
        <w:tc>
          <w:tcPr>
            <w:tcW w:type="dxa" w:w="3700"/>
            <w:shd w:fill="F2F2F2"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G.2 Unique good practices</w:t>
            </w:r>
          </w:p>
        </w:tc>
        <w:tc>
          <w:tcPr>
            <w:tcW w:type="dxa" w:w="5650"/>
            <w:shd w:fill="F2F2F2" w:val="clear"/>
            <w:tcMar>
              <w:top w:type="dxa" w:w="80"/>
              <w:left w:type="dxa" w:w="100"/>
              <w:bottom w:type="dxa" w:w="80"/>
              <w:right w:type="dxa" w:w="100"/>
            </w:tcMar>
            <w:vAlign w:val="center"/>
          </w:tcPr>
          <w:p>
            <w:pPr>
              <w:spacing w:after="40"/>
            </w:pPr>
            <w:r>
              <w:rPr>
                <w:rFonts w:ascii="Arial" w:cs="Arial" w:eastAsia="Arial" w:hAnsi="Arial"/>
                <w:sz w:val="18"/>
                <w:szCs w:val="18"/>
              </w:rPr>
              <w:t xml:space="preserve">AI-based FHTC tap-connection verification, the mandatory Cube/Material Testing re-inspection loop, and the cross-department (rural+urban) Nirmal water-quality framework are genuinely differentiated practices worth foregrounding here.</w:t>
            </w:r>
          </w:p>
        </w:tc>
      </w:tr>
      <w:tr>
        <w:tc>
          <w:tcPr>
            <w:tcW w:type="dxa" w:w="3700"/>
            <w:shd w:fill="FFFFFF" w:val="clear"/>
            <w:tcMar>
              <w:top w:type="dxa" w:w="80"/>
              <w:left w:type="dxa" w:w="100"/>
              <w:bottom w:type="dxa" w:w="80"/>
              <w:right w:type="dxa" w:w="100"/>
            </w:tcMar>
            <w:vAlign w:val="center"/>
          </w:tcPr>
          <w:p>
            <w:pPr>
              <w:spacing w:after="40"/>
            </w:pPr>
            <w:r>
              <w:rPr>
                <w:rFonts w:ascii="Arial" w:cs="Arial" w:eastAsia="Arial" w:hAnsi="Arial"/>
                <w:b/>
                <w:bCs/>
                <w:sz w:val="18"/>
                <w:szCs w:val="18"/>
              </w:rPr>
              <w:t xml:space="preserve">G.3 How ESG creates value (financial &amp; non-financial)</w:t>
            </w:r>
          </w:p>
        </w:tc>
        <w:tc>
          <w:tcPr>
            <w:tcW w:type="dxa" w:w="5650"/>
            <w:shd w:fill="FFFFFF" w:val="clear"/>
            <w:tcMar>
              <w:top w:type="dxa" w:w="80"/>
              <w:left w:type="dxa" w:w="100"/>
              <w:bottom w:type="dxa" w:w="80"/>
              <w:right w:type="dxa" w:w="100"/>
            </w:tcMar>
            <w:vAlign w:val="center"/>
          </w:tcPr>
          <w:p>
            <w:pPr>
              <w:spacing w:after="40"/>
            </w:pPr>
            <w:r>
              <w:rPr>
                <w:rFonts w:ascii="Arial" w:cs="Arial" w:eastAsia="Arial" w:hAnsi="Arial"/>
                <w:sz w:val="18"/>
                <w:szCs w:val="18"/>
              </w:rPr>
              <w:t xml:space="preserve">Reduced billing leakage and water loss (financial), stronger Jal Jeevan Mission FHTC-claim integrity and public-health early-warning on water quality (non-financial) are the platform's clearest value-creation narrative.</w:t>
            </w:r>
          </w:p>
        </w:tc>
      </w:tr>
    </w:tbl>
    <w:p>
      <w:pPr>
        <w:spacing w:after="120"/>
      </w:pPr>
    </w:p>
    <w:p>
      <w:pPr>
        <w:pBdr>
          <w:bottom w:val="single" w:color="BF9000" w:sz="12" w:space="4"/>
        </w:pBdr>
        <w:spacing w:after="140" w:before="320"/>
      </w:pPr>
      <w:r>
        <w:rPr>
          <w:rFonts w:ascii="Arial" w:cs="Arial" w:eastAsia="Arial" w:hAnsi="Arial"/>
          <w:b/>
          <w:bCs/>
          <w:color w:val="1F3864"/>
          <w:sz w:val="27"/>
          <w:szCs w:val="27"/>
        </w:rPr>
        <w:t xml:space="preserve">6. Key Gaps to Close Before Filing</w:t>
      </w:r>
    </w:p>
    <w:p>
      <w:pPr>
        <w:spacing w:after="120"/>
      </w:pPr>
      <w:r>
        <w:rPr>
          <w:rFonts w:ascii="Arial" w:cs="Arial" w:eastAsia="Arial" w:hAnsi="Arial"/>
          <w:sz w:val="20"/>
          <w:szCs w:val="20"/>
        </w:rPr>
        <w:t xml:space="preserve">The existing draft note is a good project-level pitch but is not yet application-ready against either Guideline document. The following are the priority items, in rough order of effort:</w:t>
      </w:r>
    </w:p>
    <w:p>
      <w:pPr>
        <w:pStyle w:val="ListParagraph"/>
        <w:numPr>
          <w:ilvl w:val="0"/>
          <w:numId w:val="1"/>
        </w:numPr>
        <w:spacing w:after="80"/>
      </w:pPr>
      <w:r>
        <w:rPr>
          <w:rFonts w:ascii="Arial" w:cs="Arial" w:eastAsia="Arial" w:hAnsi="Arial"/>
          <w:sz w:val="20"/>
          <w:szCs w:val="20"/>
        </w:rPr>
        <w:t xml:space="preserve">Confirm the legal applicant organization. GPAS/GPAESG eligibility (Section b) requires a self-accounting organization with an Annual Report — most likely MP Jal Nigam Maryadit or MPSeDC as the implementing agency, with Jal Rekha positioned as its flagship digital initiative (the same pattern used for MP GeoPortal in the reference note).</w:t>
      </w:r>
    </w:p>
    <w:p>
      <w:pPr>
        <w:pStyle w:val="ListParagraph"/>
        <w:numPr>
          <w:ilvl w:val="0"/>
          <w:numId w:val="1"/>
        </w:numPr>
        <w:spacing w:after="80"/>
      </w:pPr>
      <w:r>
        <w:rPr>
          <w:rFonts w:ascii="Arial" w:cs="Arial" w:eastAsia="Arial" w:hAnsi="Arial"/>
          <w:sz w:val="20"/>
          <w:szCs w:val="20"/>
        </w:rPr>
        <w:t xml:space="preserve">Board/governance inputs: current Board composition (with % independent and women directors), any existing Sustainability/ESG Committee, a written Sustainability/ESG Policy, and a signed CEO/senior-official statement — the 2026 Guidelines explicitly require a certificate that this statement was not AI-generated (GPAS A.8).</w:t>
      </w:r>
    </w:p>
    <w:p>
      <w:pPr>
        <w:pStyle w:val="ListParagraph"/>
        <w:numPr>
          <w:ilvl w:val="0"/>
          <w:numId w:val="1"/>
        </w:numPr>
        <w:spacing w:after="80"/>
      </w:pPr>
      <w:r>
        <w:rPr>
          <w:rFonts w:ascii="Arial" w:cs="Arial" w:eastAsia="Arial" w:hAnsi="Arial"/>
          <w:sz w:val="20"/>
          <w:szCs w:val="20"/>
        </w:rPr>
        <w:t xml:space="preserve">Two years of quantifiable performance data: financial figures, workforce headcount and diversity split, water volumes (consumption, recycled/reused, UFW %), CSR spend if applicable, and any compliance fines/sanctions — most of this sits with the applicant department's administration and finance wings, not with the Jal Rekha project team.</w:t>
      </w:r>
    </w:p>
    <w:p>
      <w:pPr>
        <w:pStyle w:val="ListParagraph"/>
        <w:numPr>
          <w:ilvl w:val="0"/>
          <w:numId w:val="1"/>
        </w:numPr>
        <w:spacing w:after="80"/>
      </w:pPr>
      <w:r>
        <w:rPr>
          <w:rFonts w:ascii="Arial" w:cs="Arial" w:eastAsia="Arial" w:hAnsi="Arial"/>
          <w:sz w:val="20"/>
          <w:szCs w:val="20"/>
        </w:rPr>
        <w:t xml:space="preserve">SDG target-setting: Section J.1 (GPAS) asks which SDGs are pursued and what the numeric targets and achievements are — SDG 6 alignment is easy to state qualitatively today but needs actual targets (e.g., % reduction in UFW, number of habitations covered by Nirmal testing) to score well.</w:t>
      </w:r>
    </w:p>
    <w:p>
      <w:pPr>
        <w:pStyle w:val="ListParagraph"/>
        <w:numPr>
          <w:ilvl w:val="0"/>
          <w:numId w:val="1"/>
        </w:numPr>
        <w:spacing w:after="80"/>
      </w:pPr>
      <w:r>
        <w:rPr>
          <w:rFonts w:ascii="Arial" w:cs="Arial" w:eastAsia="Arial" w:hAnsi="Arial"/>
          <w:sz w:val="20"/>
          <w:szCs w:val="20"/>
        </w:rPr>
        <w:t xml:space="preserve">Disaster Management Plan and its last simulation/drill outcome (GPAS D.3, GPAESG B.9) — confirm whether PHED/Jal Nigam already has one that can be attached, or whether this needs to be created.</w:t>
      </w:r>
    </w:p>
    <w:p>
      <w:pPr>
        <w:pStyle w:val="ListParagraph"/>
        <w:numPr>
          <w:ilvl w:val="0"/>
          <w:numId w:val="1"/>
        </w:numPr>
        <w:spacing w:after="80"/>
      </w:pPr>
      <w:r>
        <w:rPr>
          <w:rFonts w:ascii="Arial" w:cs="Arial" w:eastAsia="Arial" w:hAnsi="Arial"/>
          <w:sz w:val="20"/>
          <w:szCs w:val="20"/>
        </w:rPr>
        <w:t xml:space="preserve">Annexure 1 must be signed on every page by the highest-ranking official or an authorized signatory — identify and confirm this signatory early, since the application is not considered without it.</w:t>
      </w:r>
    </w:p>
    <w:p>
      <w:pPr>
        <w:pStyle w:val="ListParagraph"/>
        <w:numPr>
          <w:ilvl w:val="0"/>
          <w:numId w:val="1"/>
        </w:numPr>
        <w:spacing w:after="80"/>
      </w:pPr>
      <w:r>
        <w:rPr>
          <w:rFonts w:ascii="Arial" w:cs="Arial" w:eastAsia="Arial" w:hAnsi="Arial"/>
          <w:sz w:val="20"/>
          <w:szCs w:val="20"/>
        </w:rPr>
        <w:t xml:space="preserve">Supporting materials must be self-contained downloaded copies, properly numbered and cross-referenced from the answers — no web links, hyperlinks, or image links are accepted; plan the evidence pack (screenshots of dashboards, sample reports, policy PDFs) accordingly.</w:t>
      </w:r>
    </w:p>
    <w:p>
      <w:pPr>
        <w:pBdr>
          <w:bottom w:val="single" w:color="BF9000" w:sz="12" w:space="4"/>
        </w:pBdr>
        <w:spacing w:after="140" w:before="320"/>
      </w:pPr>
      <w:r>
        <w:rPr>
          <w:rFonts w:ascii="Arial" w:cs="Arial" w:eastAsia="Arial" w:hAnsi="Arial"/>
          <w:b/>
          <w:bCs/>
          <w:color w:val="1F3864"/>
          <w:sz w:val="27"/>
          <w:szCs w:val="27"/>
        </w:rPr>
        <w:t xml:space="preserve">7. Recommendation &amp; Next Steps</w:t>
      </w:r>
    </w:p>
    <w:p>
      <w:pPr>
        <w:pStyle w:val="ListParagraph"/>
        <w:numPr>
          <w:ilvl w:val="0"/>
          <w:numId w:val="1"/>
        </w:numPr>
        <w:spacing w:after="80"/>
      </w:pPr>
      <w:r>
        <w:rPr>
          <w:rFonts w:ascii="Arial" w:cs="Arial" w:eastAsia="Arial" w:hAnsi="Arial"/>
          <w:sz w:val="20"/>
          <w:szCs w:val="20"/>
        </w:rPr>
        <w:t xml:space="preserve">Proceed with GPAS as the primary submission (Section C – Water and Section H – Process/Technology/People are already strong), with GPAESG filed in parallel once the Section E/F organization-level data gaps above are closed.</w:t>
      </w:r>
    </w:p>
    <w:p>
      <w:pPr>
        <w:pStyle w:val="ListParagraph"/>
        <w:numPr>
          <w:ilvl w:val="0"/>
          <w:numId w:val="1"/>
        </w:numPr>
        <w:spacing w:after="80"/>
      </w:pPr>
      <w:r>
        <w:rPr>
          <w:rFonts w:ascii="Arial" w:cs="Arial" w:eastAsia="Arial" w:hAnsi="Arial"/>
          <w:sz w:val="20"/>
          <w:szCs w:val="20"/>
        </w:rPr>
        <w:t xml:space="preserve">Nominate the applicant organization and signatory (highest-ranking official) before drafting Annexure 1, so the Business Overview (Annexure 2) and Self-Appraisal Report (Annexure 3) are written from that organization's perspective, with Jal Rekha as supporting evidence — not the other way around.</w:t>
      </w:r>
    </w:p>
    <w:p>
      <w:pPr>
        <w:pStyle w:val="ListParagraph"/>
        <w:numPr>
          <w:ilvl w:val="0"/>
          <w:numId w:val="1"/>
        </w:numPr>
        <w:spacing w:after="80"/>
      </w:pPr>
      <w:r>
        <w:rPr>
          <w:rFonts w:ascii="Arial" w:cs="Arial" w:eastAsia="Arial" w:hAnsi="Arial"/>
          <w:sz w:val="20"/>
          <w:szCs w:val="20"/>
        </w:rPr>
        <w:t xml:space="preserve">Request the two-years-of-data items in Section 6 from the relevant PHED/Jal Nigam administration, HR and finance functions in parallel with drafting the narrative sections, since data collection is typically the longest lead-time item.</w:t>
      </w:r>
    </w:p>
    <w:p>
      <w:pPr>
        <w:pStyle w:val="ListParagraph"/>
        <w:numPr>
          <w:ilvl w:val="0"/>
          <w:numId w:val="1"/>
        </w:numPr>
        <w:spacing w:after="80"/>
      </w:pPr>
      <w:r>
        <w:rPr>
          <w:rFonts w:ascii="Arial" w:cs="Arial" w:eastAsia="Arial" w:hAnsi="Arial"/>
          <w:sz w:val="20"/>
          <w:szCs w:val="20"/>
        </w:rPr>
        <w:t xml:space="preserve">Once organization-level inputs are available, expand this note into the full Annexure 2 (4–5 pages) and Annexure 3 (50–70 pages) responses, answering every question sequentially and point-wise per the Guidelines, with Not Applicable + justification used only where genuinely inapplicable.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Jal Rekha — GPAS / GPAESG Summary Note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2026-08-20T11:05:29.213Z</dcterms:created>
  <dcterms:modified xsi:type="dcterms:W3CDTF">2026-08-20T11:05:29.223Z</dcterms:modified>
</cp:coreProperties>
</file>

<file path=docProps/custom.xml><?xml version="1.0" encoding="utf-8"?>
<Properties xmlns="http://schemas.openxmlformats.org/officeDocument/2006/custom-properties" xmlns:vt="http://schemas.openxmlformats.org/officeDocument/2006/docPropsVTypes"/>
</file>