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BUSINESS REQUIREMENTS DOCUMENT (BRD)</w:t>
      </w:r>
    </w:p>
    <w:p>
      <w:pPr>
        <w:spacing w:after="80"/>
        <w:jc w:val="center"/>
      </w:pPr>
      <w:r>
        <w:rPr>
          <w:b/>
          <w:bCs/>
          <w:sz w:val="28"/>
          <w:szCs w:val="28"/>
        </w:rPr>
        <w:t xml:space="preserve">District GIS Parakh Platform — Consolidated (All Modules)</w:t>
      </w:r>
    </w:p>
    <w:p>
      <w:pPr>
        <w:spacing w:after="60"/>
        <w:jc w:val="center"/>
      </w:pPr>
      <w:r>
        <w:rPr>
          <w:i/>
          <w:iCs/>
          <w:sz w:val="22"/>
          <w:szCs w:val="22"/>
        </w:rPr>
        <w:t xml:space="preserve">MPSSDI / MPSeDC — Madhya Pradesh State Electronics Development Corporation</w:t>
      </w:r>
    </w:p>
    <w:p>
      <w:pPr>
        <w:spacing w:after="400"/>
        <w:jc w:val="center"/>
      </w:pPr>
      <w:r>
        <w:rPr>
          <w:color w:val="555555"/>
          <w:sz w:val="20"/>
          <w:szCs w:val="20"/>
        </w:rPr>
        <w:t xml:space="preserve">Version 1.0  |  Consolidated as of 19-Aug-2026</w:t>
      </w:r>
    </w:p>
    <w:p>
      <w:pPr>
        <w:pStyle w:val="Heading1"/>
        <w:spacing w:after="140" w:before="32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2E74B5" w:val="clear"/>
            <w:tcMar>
              <w:top w:type="dxa" w:w="70"/>
              <w:left w:type="dxa" w:w="90"/>
              <w:bottom w:type="dxa" w:w="70"/>
              <w:right w:type="dxa" w:w="90"/>
            </w:tcMar>
            <w:vAlign w:val="top"/>
          </w:tcPr>
          <w:p>
            <w:r>
              <w:rPr>
                <w:b/>
                <w:bCs/>
                <w:color w:val="FFFFFF"/>
                <w:sz w:val="19"/>
                <w:szCs w:val="19"/>
              </w:rPr>
              <w:t xml:space="preserve">Attribute</w:t>
            </w:r>
          </w:p>
        </w:tc>
        <w:tc>
          <w:tcPr>
            <w:tcW w:type="dxa" w:w="7160"/>
            <w:shd w:fill="2E74B5" w:val="clear"/>
            <w:tcMar>
              <w:top w:type="dxa" w:w="70"/>
              <w:left w:type="dxa" w:w="90"/>
              <w:bottom w:type="dxa" w:w="70"/>
              <w:right w:type="dxa" w:w="90"/>
            </w:tcMar>
            <w:vAlign w:val="top"/>
          </w:tcPr>
          <w:p>
            <w:r>
              <w:rPr>
                <w:b/>
                <w:bCs/>
                <w:color w:val="FFFFFF"/>
                <w:sz w:val="19"/>
                <w:szCs w:val="19"/>
              </w:rPr>
              <w:t xml:space="preserve">Details</w:t>
            </w:r>
          </w:p>
        </w:tc>
      </w:tr>
      <w:tr>
        <w:tc>
          <w:tcPr>
            <w:tcW w:type="dxa" w:w="2200"/>
            <w:tcMar>
              <w:top w:type="dxa" w:w="70"/>
              <w:left w:type="dxa" w:w="90"/>
              <w:bottom w:type="dxa" w:w="70"/>
              <w:right w:type="dxa" w:w="90"/>
            </w:tcMar>
            <w:vAlign w:val="top"/>
          </w:tcPr>
          <w:p>
            <w:r>
              <w:rPr>
                <w:b w:val="false"/>
                <w:bCs w:val="false"/>
                <w:color w:val="000000"/>
                <w:sz w:val="19"/>
                <w:szCs w:val="19"/>
              </w:rPr>
              <w:t xml:space="preserve">Document Title</w:t>
            </w:r>
          </w:p>
        </w:tc>
        <w:tc>
          <w:tcPr>
            <w:tcW w:type="dxa" w:w="7160"/>
            <w:tcMar>
              <w:top w:type="dxa" w:w="70"/>
              <w:left w:type="dxa" w:w="90"/>
              <w:bottom w:type="dxa" w:w="70"/>
              <w:right w:type="dxa" w:w="90"/>
            </w:tcMar>
            <w:vAlign w:val="top"/>
          </w:tcPr>
          <w:p>
            <w:r>
              <w:rPr>
                <w:b w:val="false"/>
                <w:bCs w:val="false"/>
                <w:color w:val="000000"/>
                <w:sz w:val="19"/>
                <w:szCs w:val="19"/>
              </w:rPr>
              <w:t xml:space="preserve">BRD — District GIS Parakh Platform (Consolidated, All Modules)</w:t>
            </w:r>
          </w:p>
        </w:tc>
      </w:tr>
      <w:tr>
        <w:tc>
          <w:tcPr>
            <w:tcW w:type="dxa" w:w="2200"/>
            <w:tcMar>
              <w:top w:type="dxa" w:w="70"/>
              <w:left w:type="dxa" w:w="90"/>
              <w:bottom w:type="dxa" w:w="70"/>
              <w:right w:type="dxa" w:w="90"/>
            </w:tcMar>
            <w:vAlign w:val="top"/>
          </w:tcPr>
          <w:p>
            <w:r>
              <w:rPr>
                <w:b w:val="false"/>
                <w:bCs w:val="false"/>
                <w:color w:val="000000"/>
                <w:sz w:val="19"/>
                <w:szCs w:val="19"/>
              </w:rPr>
              <w:t xml:space="preserve">Project</w:t>
            </w:r>
          </w:p>
        </w:tc>
        <w:tc>
          <w:tcPr>
            <w:tcW w:type="dxa" w:w="7160"/>
            <w:tcMar>
              <w:top w:type="dxa" w:w="70"/>
              <w:left w:type="dxa" w:w="90"/>
              <w:bottom w:type="dxa" w:w="70"/>
              <w:right w:type="dxa" w:w="90"/>
            </w:tcMar>
            <w:vAlign w:val="top"/>
          </w:tcPr>
          <w:p>
            <w:r>
              <w:rPr>
                <w:b w:val="false"/>
                <w:bCs w:val="false"/>
                <w:color w:val="000000"/>
                <w:sz w:val="19"/>
                <w:szCs w:val="19"/>
              </w:rPr>
              <w:t xml:space="preserve">District GIS Parakh — MPSSDI / MPSeDC</w:t>
            </w:r>
          </w:p>
        </w:tc>
      </w:tr>
      <w:tr>
        <w:tc>
          <w:tcPr>
            <w:tcW w:type="dxa" w:w="2200"/>
            <w:tcMar>
              <w:top w:type="dxa" w:w="70"/>
              <w:left w:type="dxa" w:w="90"/>
              <w:bottom w:type="dxa" w:w="70"/>
              <w:right w:type="dxa" w:w="90"/>
            </w:tcMar>
            <w:vAlign w:val="top"/>
          </w:tcPr>
          <w:p>
            <w:r>
              <w:rPr>
                <w:b w:val="false"/>
                <w:bCs w:val="false"/>
                <w:color w:val="000000"/>
                <w:sz w:val="19"/>
                <w:szCs w:val="19"/>
              </w:rPr>
              <w:t xml:space="preserve">Version</w:t>
            </w:r>
          </w:p>
        </w:tc>
        <w:tc>
          <w:tcPr>
            <w:tcW w:type="dxa" w:w="7160"/>
            <w:tcMar>
              <w:top w:type="dxa" w:w="70"/>
              <w:left w:type="dxa" w:w="90"/>
              <w:bottom w:type="dxa" w:w="70"/>
              <w:right w:type="dxa" w:w="90"/>
            </w:tcMar>
            <w:vAlign w:val="top"/>
          </w:tcPr>
          <w:p>
            <w:r>
              <w:rPr>
                <w:b w:val="false"/>
                <w:bCs w:val="false"/>
                <w:color w:val="000000"/>
                <w:sz w:val="19"/>
                <w:szCs w:val="19"/>
              </w:rPr>
              <w:t xml:space="preserve">1.0 — Consolidated</w:t>
            </w:r>
          </w:p>
        </w:tc>
      </w:tr>
      <w:tr>
        <w:tc>
          <w:tcPr>
            <w:tcW w:type="dxa" w:w="2200"/>
            <w:tcMar>
              <w:top w:type="dxa" w:w="70"/>
              <w:left w:type="dxa" w:w="90"/>
              <w:bottom w:type="dxa" w:w="70"/>
              <w:right w:type="dxa" w:w="90"/>
            </w:tcMar>
            <w:vAlign w:val="top"/>
          </w:tcPr>
          <w:p>
            <w:r>
              <w:rPr>
                <w:b w:val="false"/>
                <w:bCs w:val="false"/>
                <w:color w:val="000000"/>
                <w:sz w:val="19"/>
                <w:szCs w:val="19"/>
              </w:rPr>
              <w:t xml:space="preserve">Date</w:t>
            </w:r>
          </w:p>
        </w:tc>
        <w:tc>
          <w:tcPr>
            <w:tcW w:type="dxa" w:w="7160"/>
            <w:tcMar>
              <w:top w:type="dxa" w:w="70"/>
              <w:left w:type="dxa" w:w="90"/>
              <w:bottom w:type="dxa" w:w="70"/>
              <w:right w:type="dxa" w:w="90"/>
            </w:tcMar>
            <w:vAlign w:val="top"/>
          </w:tcPr>
          <w:p>
            <w:r>
              <w:rPr>
                <w:b w:val="false"/>
                <w:bCs w:val="false"/>
                <w:color w:val="000000"/>
                <w:sz w:val="19"/>
                <w:szCs w:val="19"/>
              </w:rPr>
              <w:t xml:space="preserve">19-Aug-2026</w:t>
            </w:r>
          </w:p>
        </w:tc>
      </w:tr>
      <w:tr>
        <w:tc>
          <w:tcPr>
            <w:tcW w:type="dxa" w:w="2200"/>
            <w:tcMar>
              <w:top w:type="dxa" w:w="70"/>
              <w:left w:type="dxa" w:w="90"/>
              <w:bottom w:type="dxa" w:w="70"/>
              <w:right w:type="dxa" w:w="90"/>
            </w:tcMar>
            <w:vAlign w:val="top"/>
          </w:tcPr>
          <w:p>
            <w:r>
              <w:rPr>
                <w:b w:val="false"/>
                <w:bCs w:val="false"/>
                <w:color w:val="000000"/>
                <w:sz w:val="19"/>
                <w:szCs w:val="19"/>
              </w:rPr>
              <w:t xml:space="preserve">Prepared By</w:t>
            </w:r>
          </w:p>
        </w:tc>
        <w:tc>
          <w:tcPr>
            <w:tcW w:type="dxa" w:w="7160"/>
            <w:tcMar>
              <w:top w:type="dxa" w:w="70"/>
              <w:left w:type="dxa" w:w="90"/>
              <w:bottom w:type="dxa" w:w="70"/>
              <w:right w:type="dxa" w:w="90"/>
            </w:tcMar>
            <w:vAlign w:val="top"/>
          </w:tcPr>
          <w:p>
            <w:r>
              <w:rPr>
                <w:b w:val="false"/>
                <w:bCs w:val="false"/>
                <w:color w:val="000000"/>
                <w:sz w:val="19"/>
                <w:szCs w:val="19"/>
              </w:rPr>
              <w:t xml:space="preserve">Dheeraj, Senior Business Analyst, MPSeDC (MPSSDI)</w:t>
            </w:r>
          </w:p>
        </w:tc>
      </w:tr>
      <w:tr>
        <w:tc>
          <w:tcPr>
            <w:tcW w:type="dxa" w:w="2200"/>
            <w:tcMar>
              <w:top w:type="dxa" w:w="70"/>
              <w:left w:type="dxa" w:w="90"/>
              <w:bottom w:type="dxa" w:w="70"/>
              <w:right w:type="dxa" w:w="90"/>
            </w:tcMar>
            <w:vAlign w:val="top"/>
          </w:tcPr>
          <w:p>
            <w:r>
              <w:rPr>
                <w:b w:val="false"/>
                <w:bCs w:val="false"/>
                <w:color w:val="000000"/>
                <w:sz w:val="19"/>
                <w:szCs w:val="19"/>
              </w:rPr>
              <w:t xml:space="preserve">Status</w:t>
            </w:r>
          </w:p>
        </w:tc>
        <w:tc>
          <w:tcPr>
            <w:tcW w:type="dxa" w:w="7160"/>
            <w:tcMar>
              <w:top w:type="dxa" w:w="70"/>
              <w:left w:type="dxa" w:w="90"/>
              <w:bottom w:type="dxa" w:w="70"/>
              <w:right w:type="dxa" w:w="90"/>
            </w:tcMar>
            <w:vAlign w:val="top"/>
          </w:tcPr>
          <w:p>
            <w:r>
              <w:rPr>
                <w:b w:val="false"/>
                <w:bCs w:val="false"/>
                <w:color w:val="000000"/>
                <w:sz w:val="19"/>
                <w:szCs w:val="19"/>
              </w:rPr>
              <w:t xml:space="preserve">Draft for internal review</w:t>
            </w:r>
          </w:p>
        </w:tc>
      </w:tr>
      <w:tr>
        <w:tc>
          <w:tcPr>
            <w:tcW w:type="dxa" w:w="2200"/>
            <w:tcMar>
              <w:top w:type="dxa" w:w="70"/>
              <w:left w:type="dxa" w:w="90"/>
              <w:bottom w:type="dxa" w:w="70"/>
              <w:right w:type="dxa" w:w="90"/>
            </w:tcMar>
            <w:vAlign w:val="top"/>
          </w:tcPr>
          <w:p>
            <w:r>
              <w:rPr>
                <w:b w:val="false"/>
                <w:bCs w:val="false"/>
                <w:color w:val="000000"/>
                <w:sz w:val="19"/>
                <w:szCs w:val="19"/>
              </w:rPr>
              <w:t xml:space="preserve">Purpose of this Version</w:t>
            </w:r>
          </w:p>
        </w:tc>
        <w:tc>
          <w:tcPr>
            <w:tcW w:type="dxa" w:w="7160"/>
            <w:tcMar>
              <w:top w:type="dxa" w:w="70"/>
              <w:left w:type="dxa" w:w="90"/>
              <w:bottom w:type="dxa" w:w="70"/>
              <w:right w:type="dxa" w:w="90"/>
            </w:tcMar>
            <w:vAlign w:val="top"/>
          </w:tcPr>
          <w:p>
            <w:r>
              <w:rPr>
                <w:b w:val="false"/>
                <w:bCs w:val="false"/>
                <w:color w:val="000000"/>
                <w:sz w:val="19"/>
                <w:szCs w:val="19"/>
              </w:rPr>
              <w:t xml:space="preserve">First platform-wide consolidation of all module-level BRDs, user manuals, onboarding guides, and integration specs produced to date into a single Business Requirements Document.</w:t>
            </w:r>
          </w:p>
        </w:tc>
      </w:tr>
    </w:tbl>
    <w:p>
      <w:pPr>
        <w:pStyle w:val="Heading1"/>
        <w:spacing w:after="140" w:before="320"/>
      </w:pPr>
      <w:r>
        <w:t xml:space="preserve">Table of Sources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2E74B5" w:val="clear"/>
            <w:tcMar>
              <w:top w:type="dxa" w:w="70"/>
              <w:left w:type="dxa" w:w="90"/>
              <w:bottom w:type="dxa" w:w="70"/>
              <w:right w:type="dxa" w:w="90"/>
            </w:tcMar>
            <w:vAlign w:val="top"/>
          </w:tcPr>
          <w:p>
            <w:r>
              <w:rPr>
                <w:b/>
                <w:bCs/>
                <w:color w:val="FFFFFF"/>
                <w:sz w:val="19"/>
                <w:szCs w:val="19"/>
              </w:rPr>
              <w:t xml:space="preserve">Source Document</w:t>
            </w:r>
          </w:p>
        </w:tc>
        <w:tc>
          <w:tcPr>
            <w:tcW w:type="dxa" w:w="2600"/>
            <w:shd w:fill="2E74B5" w:val="clear"/>
            <w:tcMar>
              <w:top w:type="dxa" w:w="70"/>
              <w:left w:type="dxa" w:w="90"/>
              <w:bottom w:type="dxa" w:w="70"/>
              <w:right w:type="dxa" w:w="90"/>
            </w:tcMar>
            <w:vAlign w:val="top"/>
          </w:tcPr>
          <w:p>
            <w:r>
              <w:rPr>
                <w:b/>
                <w:bCs/>
                <w:color w:val="FFFFFF"/>
                <w:sz w:val="19"/>
                <w:szCs w:val="19"/>
              </w:rPr>
              <w:t xml:space="preserve">Version / Date</w:t>
            </w:r>
          </w:p>
        </w:tc>
        <w:tc>
          <w:tcPr>
            <w:tcW w:type="dxa" w:w="2560"/>
            <w:shd w:fill="2E74B5" w:val="clear"/>
            <w:tcMar>
              <w:top w:type="dxa" w:w="70"/>
              <w:left w:type="dxa" w:w="90"/>
              <w:bottom w:type="dxa" w:w="70"/>
              <w:right w:type="dxa" w:w="90"/>
            </w:tcMar>
            <w:vAlign w:val="top"/>
          </w:tcPr>
          <w:p>
            <w:r>
              <w:rPr>
                <w:b/>
                <w:bCs/>
                <w:color w:val="FFFFFF"/>
                <w:sz w:val="19"/>
                <w:szCs w:val="19"/>
              </w:rPr>
              <w:t xml:space="preserve">Covers</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User Manual</w:t>
            </w:r>
          </w:p>
        </w:tc>
        <w:tc>
          <w:tcPr>
            <w:tcW w:type="dxa" w:w="2600"/>
            <w:tcMar>
              <w:top w:type="dxa" w:w="70"/>
              <w:left w:type="dxa" w:w="90"/>
              <w:bottom w:type="dxa" w:w="70"/>
              <w:right w:type="dxa" w:w="90"/>
            </w:tcMar>
            <w:vAlign w:val="top"/>
          </w:tcPr>
          <w:p>
            <w:r>
              <w:rPr>
                <w:b w:val="false"/>
                <w:bCs w:val="false"/>
                <w:color w:val="000000"/>
                <w:sz w:val="19"/>
                <w:szCs w:val="19"/>
              </w:rPr>
              <w:t xml:space="preserve">V1.2, May 2026</w:t>
            </w:r>
          </w:p>
        </w:tc>
        <w:tc>
          <w:tcPr>
            <w:tcW w:type="dxa" w:w="2560"/>
            <w:tcMar>
              <w:top w:type="dxa" w:w="70"/>
              <w:left w:type="dxa" w:w="90"/>
              <w:bottom w:type="dxa" w:w="70"/>
              <w:right w:type="dxa" w:w="90"/>
            </w:tcMar>
            <w:vAlign w:val="top"/>
          </w:tcPr>
          <w:p>
            <w:r>
              <w:rPr>
                <w:b w:val="false"/>
                <w:bCs w:val="false"/>
                <w:color w:val="000000"/>
                <w:sz w:val="19"/>
                <w:szCs w:val="19"/>
              </w:rPr>
              <w:t xml:space="preserve">Core mobile &amp; web user flows</w:t>
            </w:r>
          </w:p>
        </w:tc>
      </w:tr>
      <w:tr>
        <w:tc>
          <w:tcPr>
            <w:tcW w:type="dxa" w:w="4200"/>
            <w:tcMar>
              <w:top w:type="dxa" w:w="70"/>
              <w:left w:type="dxa" w:w="90"/>
              <w:bottom w:type="dxa" w:w="70"/>
              <w:right w:type="dxa" w:w="90"/>
            </w:tcMar>
            <w:vAlign w:val="top"/>
          </w:tcPr>
          <w:p>
            <w:r>
              <w:rPr>
                <w:b w:val="false"/>
                <w:bCs w:val="false"/>
                <w:color w:val="000000"/>
                <w:sz w:val="19"/>
                <w:szCs w:val="19"/>
              </w:rPr>
              <w:t xml:space="preserve">Complete Generic User Manual (Mobile &amp; Web)</w:t>
            </w:r>
          </w:p>
        </w:tc>
        <w:tc>
          <w:tcPr>
            <w:tcW w:type="dxa" w:w="2600"/>
            <w:tcMar>
              <w:top w:type="dxa" w:w="70"/>
              <w:left w:type="dxa" w:w="90"/>
              <w:bottom w:type="dxa" w:w="70"/>
              <w:right w:type="dxa" w:w="90"/>
            </w:tcMar>
            <w:vAlign w:val="top"/>
          </w:tcPr>
          <w:p>
            <w:r>
              <w:rPr>
                <w:b w:val="false"/>
                <w:bCs w:val="false"/>
                <w:color w:val="000000"/>
                <w:sz w:val="19"/>
                <w:szCs w:val="19"/>
              </w:rPr>
              <w:t xml:space="preserve">V1.2</w:t>
            </w:r>
          </w:p>
        </w:tc>
        <w:tc>
          <w:tcPr>
            <w:tcW w:type="dxa" w:w="2560"/>
            <w:tcMar>
              <w:top w:type="dxa" w:w="70"/>
              <w:left w:type="dxa" w:w="90"/>
              <w:bottom w:type="dxa" w:w="70"/>
              <w:right w:type="dxa" w:w="90"/>
            </w:tcMar>
            <w:vAlign w:val="top"/>
          </w:tcPr>
          <w:p>
            <w:r>
              <w:rPr>
                <w:b w:val="false"/>
                <w:bCs w:val="false"/>
                <w:color w:val="000000"/>
                <w:sz w:val="19"/>
                <w:szCs w:val="19"/>
              </w:rPr>
              <w:t xml:space="preserve">Department user hierarchy &amp; workflow</w:t>
            </w:r>
          </w:p>
        </w:tc>
      </w:tr>
      <w:tr>
        <w:tc>
          <w:tcPr>
            <w:tcW w:type="dxa" w:w="4200"/>
            <w:tcMar>
              <w:top w:type="dxa" w:w="70"/>
              <w:left w:type="dxa" w:w="90"/>
              <w:bottom w:type="dxa" w:w="70"/>
              <w:right w:type="dxa" w:w="90"/>
            </w:tcMar>
            <w:vAlign w:val="top"/>
          </w:tcPr>
          <w:p>
            <w:r>
              <w:rPr>
                <w:b w:val="false"/>
                <w:bCs w:val="false"/>
                <w:color w:val="000000"/>
                <w:sz w:val="19"/>
                <w:szCs w:val="19"/>
              </w:rPr>
              <w:t xml:space="preserve">Form Onboarding Guide</w:t>
            </w:r>
          </w:p>
        </w:tc>
        <w:tc>
          <w:tcPr>
            <w:tcW w:type="dxa" w:w="2600"/>
            <w:tcMar>
              <w:top w:type="dxa" w:w="70"/>
              <w:left w:type="dxa" w:w="90"/>
              <w:bottom w:type="dxa" w:w="70"/>
              <w:right w:type="dxa" w:w="90"/>
            </w:tcMar>
            <w:vAlign w:val="top"/>
          </w:tcPr>
          <w:p>
            <w:r>
              <w:rPr>
                <w:b w:val="false"/>
                <w:bCs w:val="false"/>
                <w:color w:val="000000"/>
                <w:sz w:val="19"/>
                <w:szCs w:val="19"/>
              </w:rPr>
              <w:t xml:space="preserve">V1.0, May 2026</w:t>
            </w:r>
          </w:p>
        </w:tc>
        <w:tc>
          <w:tcPr>
            <w:tcW w:type="dxa" w:w="2560"/>
            <w:tcMar>
              <w:top w:type="dxa" w:w="70"/>
              <w:left w:type="dxa" w:w="90"/>
              <w:bottom w:type="dxa" w:w="70"/>
              <w:right w:type="dxa" w:w="90"/>
            </w:tcMar>
            <w:vAlign w:val="top"/>
          </w:tcPr>
          <w:p>
            <w:r>
              <w:rPr>
                <w:b w:val="false"/>
                <w:bCs w:val="false"/>
                <w:color w:val="000000"/>
                <w:sz w:val="19"/>
                <w:szCs w:val="19"/>
              </w:rPr>
              <w:t xml:space="preserve">New-form onboarding lifecycle</w:t>
            </w:r>
          </w:p>
        </w:tc>
      </w:tr>
      <w:tr>
        <w:tc>
          <w:tcPr>
            <w:tcW w:type="dxa" w:w="4200"/>
            <w:tcMar>
              <w:top w:type="dxa" w:w="70"/>
              <w:left w:type="dxa" w:w="90"/>
              <w:bottom w:type="dxa" w:w="70"/>
              <w:right w:type="dxa" w:w="90"/>
            </w:tcMar>
            <w:vAlign w:val="top"/>
          </w:tcPr>
          <w:p>
            <w:r>
              <w:rPr>
                <w:b w:val="false"/>
                <w:bCs w:val="false"/>
                <w:color w:val="000000"/>
                <w:sz w:val="19"/>
                <w:szCs w:val="19"/>
              </w:rPr>
              <w:t xml:space="preserve">Dynamic Form Creation Manual</w:t>
            </w:r>
          </w:p>
        </w:tc>
        <w:tc>
          <w:tcPr>
            <w:tcW w:type="dxa" w:w="2600"/>
            <w:tcMar>
              <w:top w:type="dxa" w:w="70"/>
              <w:left w:type="dxa" w:w="90"/>
              <w:bottom w:type="dxa" w:w="70"/>
              <w:right w:type="dxa" w:w="90"/>
            </w:tcMar>
            <w:vAlign w:val="top"/>
          </w:tcPr>
          <w:p>
            <w:r>
              <w:rPr>
                <w:b w:val="false"/>
                <w:bCs w:val="false"/>
                <w:color w:val="000000"/>
                <w:sz w:val="19"/>
                <w:szCs w:val="19"/>
              </w:rPr>
              <w:t xml:space="preserve">V2.0</w:t>
            </w:r>
          </w:p>
        </w:tc>
        <w:tc>
          <w:tcPr>
            <w:tcW w:type="dxa" w:w="2560"/>
            <w:tcMar>
              <w:top w:type="dxa" w:w="70"/>
              <w:left w:type="dxa" w:w="90"/>
              <w:bottom w:type="dxa" w:w="70"/>
              <w:right w:type="dxa" w:w="90"/>
            </w:tcMar>
            <w:vAlign w:val="top"/>
          </w:tcPr>
          <w:p>
            <w:r>
              <w:rPr>
                <w:b w:val="false"/>
                <w:bCs w:val="false"/>
                <w:color w:val="000000"/>
                <w:sz w:val="19"/>
                <w:szCs w:val="19"/>
              </w:rPr>
              <w:t xml:space="preserve">Admin form-builder workflow</w:t>
            </w:r>
          </w:p>
        </w:tc>
      </w:tr>
      <w:tr>
        <w:tc>
          <w:tcPr>
            <w:tcW w:type="dxa" w:w="4200"/>
            <w:tcMar>
              <w:top w:type="dxa" w:w="70"/>
              <w:left w:type="dxa" w:w="90"/>
              <w:bottom w:type="dxa" w:w="70"/>
              <w:right w:type="dxa" w:w="90"/>
            </w:tcMar>
            <w:vAlign w:val="top"/>
          </w:tcPr>
          <w:p>
            <w:r>
              <w:rPr>
                <w:b w:val="false"/>
                <w:bCs w:val="false"/>
                <w:color w:val="000000"/>
                <w:sz w:val="19"/>
                <w:szCs w:val="19"/>
              </w:rPr>
              <w:t xml:space="preserve">Sudden Inspection User Manual</w:t>
            </w:r>
          </w:p>
        </w:tc>
        <w:tc>
          <w:tcPr>
            <w:tcW w:type="dxa" w:w="2600"/>
            <w:tcMar>
              <w:top w:type="dxa" w:w="70"/>
              <w:left w:type="dxa" w:w="90"/>
              <w:bottom w:type="dxa" w:w="70"/>
              <w:right w:type="dxa" w:w="90"/>
            </w:tcMar>
            <w:vAlign w:val="top"/>
          </w:tcPr>
          <w:p>
            <w:r>
              <w:rPr>
                <w:b w:val="false"/>
                <w:bCs w:val="false"/>
                <w:color w:val="000000"/>
                <w:sz w:val="19"/>
                <w:szCs w:val="19"/>
              </w:rPr>
              <w:t xml:space="preserve">V1.1</w:t>
            </w:r>
          </w:p>
        </w:tc>
        <w:tc>
          <w:tcPr>
            <w:tcW w:type="dxa" w:w="2560"/>
            <w:tcMar>
              <w:top w:type="dxa" w:w="70"/>
              <w:left w:type="dxa" w:w="90"/>
              <w:bottom w:type="dxa" w:w="70"/>
              <w:right w:type="dxa" w:w="90"/>
            </w:tcMar>
            <w:vAlign w:val="top"/>
          </w:tcPr>
          <w:p>
            <w:r>
              <w:rPr>
                <w:b w:val="false"/>
                <w:bCs w:val="false"/>
                <w:color w:val="000000"/>
                <w:sz w:val="19"/>
                <w:szCs w:val="19"/>
              </w:rPr>
              <w:t xml:space="preserve">Unplanned/ad-hoc inspection flow</w:t>
            </w:r>
          </w:p>
        </w:tc>
      </w:tr>
      <w:tr>
        <w:tc>
          <w:tcPr>
            <w:tcW w:type="dxa" w:w="4200"/>
            <w:tcMar>
              <w:top w:type="dxa" w:w="70"/>
              <w:left w:type="dxa" w:w="90"/>
              <w:bottom w:type="dxa" w:w="70"/>
              <w:right w:type="dxa" w:w="90"/>
            </w:tcMar>
            <w:vAlign w:val="top"/>
          </w:tcPr>
          <w:p>
            <w:r>
              <w:rPr>
                <w:b w:val="false"/>
                <w:bCs w:val="false"/>
                <w:color w:val="000000"/>
                <w:sz w:val="19"/>
                <w:szCs w:val="19"/>
              </w:rPr>
              <w:t xml:space="preserve">Asset Survey User Manual (EN/HI)</w:t>
            </w:r>
          </w:p>
        </w:tc>
        <w:tc>
          <w:tcPr>
            <w:tcW w:type="dxa" w:w="2600"/>
            <w:tcMar>
              <w:top w:type="dxa" w:w="70"/>
              <w:left w:type="dxa" w:w="90"/>
              <w:bottom w:type="dxa" w:w="70"/>
              <w:right w:type="dxa" w:w="90"/>
            </w:tcMar>
            <w:vAlign w:val="top"/>
          </w:tcPr>
          <w:p>
            <w:r>
              <w:rPr>
                <w:b w:val="false"/>
                <w:bCs w:val="false"/>
                <w:color w:val="000000"/>
                <w:sz w:val="19"/>
                <w:szCs w:val="19"/>
              </w:rPr>
              <w:t xml:space="preserve">V1.2, 24-Jul-2026</w:t>
            </w:r>
          </w:p>
        </w:tc>
        <w:tc>
          <w:tcPr>
            <w:tcW w:type="dxa" w:w="2560"/>
            <w:tcMar>
              <w:top w:type="dxa" w:w="70"/>
              <w:left w:type="dxa" w:w="90"/>
              <w:bottom w:type="dxa" w:w="70"/>
              <w:right w:type="dxa" w:w="90"/>
            </w:tcMar>
            <w:vAlign w:val="top"/>
          </w:tcPr>
          <w:p>
            <w:r>
              <w:rPr>
                <w:b w:val="false"/>
                <w:bCs w:val="false"/>
                <w:color w:val="000000"/>
                <w:sz w:val="19"/>
                <w:szCs w:val="19"/>
              </w:rPr>
              <w:t xml:space="preserve">Asset lifecycle: create → assign → survey</w:t>
            </w:r>
          </w:p>
        </w:tc>
      </w:tr>
      <w:tr>
        <w:tc>
          <w:tcPr>
            <w:tcW w:type="dxa" w:w="4200"/>
            <w:tcMar>
              <w:top w:type="dxa" w:w="70"/>
              <w:left w:type="dxa" w:w="90"/>
              <w:bottom w:type="dxa" w:w="70"/>
              <w:right w:type="dxa" w:w="90"/>
            </w:tcMar>
            <w:vAlign w:val="top"/>
          </w:tcPr>
          <w:p>
            <w:r>
              <w:rPr>
                <w:b w:val="false"/>
                <w:bCs w:val="false"/>
                <w:color w:val="000000"/>
                <w:sz w:val="19"/>
                <w:szCs w:val="19"/>
              </w:rPr>
              <w:t xml:space="preserve">Sync Reports Guide / New Sync Functionality</w:t>
            </w:r>
          </w:p>
        </w:tc>
        <w:tc>
          <w:tcPr>
            <w:tcW w:type="dxa" w:w="2600"/>
            <w:tcMar>
              <w:top w:type="dxa" w:w="70"/>
              <w:left w:type="dxa" w:w="90"/>
              <w:bottom w:type="dxa" w:w="70"/>
              <w:right w:type="dxa" w:w="90"/>
            </w:tcMar>
            <w:vAlign w:val="top"/>
          </w:tcPr>
          <w:p>
            <w:r>
              <w:rPr>
                <w:b w:val="false"/>
                <w:bCs w:val="false"/>
                <w:color w:val="000000"/>
                <w:sz w:val="19"/>
                <w:szCs w:val="19"/>
              </w:rPr>
              <w:t xml:space="preserve">V1.0</w:t>
            </w:r>
          </w:p>
        </w:tc>
        <w:tc>
          <w:tcPr>
            <w:tcW w:type="dxa" w:w="2560"/>
            <w:tcMar>
              <w:top w:type="dxa" w:w="70"/>
              <w:left w:type="dxa" w:w="90"/>
              <w:bottom w:type="dxa" w:w="70"/>
              <w:right w:type="dxa" w:w="90"/>
            </w:tcMar>
            <w:vAlign w:val="top"/>
          </w:tcPr>
          <w:p>
            <w:r>
              <w:rPr>
                <w:b w:val="false"/>
                <w:bCs w:val="false"/>
                <w:color w:val="000000"/>
                <w:sz w:val="19"/>
                <w:szCs w:val="19"/>
              </w:rPr>
              <w:t xml:space="preserve">State Admin report synchronisation</w:t>
            </w:r>
          </w:p>
        </w:tc>
      </w:tr>
      <w:tr>
        <w:tc>
          <w:tcPr>
            <w:tcW w:type="dxa" w:w="4200"/>
            <w:tcMar>
              <w:top w:type="dxa" w:w="70"/>
              <w:left w:type="dxa" w:w="90"/>
              <w:bottom w:type="dxa" w:w="70"/>
              <w:right w:type="dxa" w:w="90"/>
            </w:tcMar>
            <w:vAlign w:val="top"/>
          </w:tcPr>
          <w:p>
            <w:r>
              <w:rPr>
                <w:b w:val="false"/>
                <w:bCs w:val="false"/>
                <w:color w:val="000000"/>
                <w:sz w:val="19"/>
                <w:szCs w:val="19"/>
              </w:rPr>
              <w:t xml:space="preserve">SSO Implementation Steps</w:t>
            </w:r>
          </w:p>
        </w:tc>
        <w:tc>
          <w:tcPr>
            <w:tcW w:type="dxa" w:w="2600"/>
            <w:tcMar>
              <w:top w:type="dxa" w:w="70"/>
              <w:left w:type="dxa" w:w="90"/>
              <w:bottom w:type="dxa" w:w="70"/>
              <w:right w:type="dxa" w:w="90"/>
            </w:tcMar>
            <w:vAlign w:val="top"/>
          </w:tcPr>
          <w:p>
            <w:r>
              <w:rPr>
                <w:b w:val="false"/>
                <w:bCs w:val="false"/>
                <w:color w:val="000000"/>
                <w:sz w:val="19"/>
                <w:szCs w:val="19"/>
              </w:rPr>
              <w:t xml:space="preserve">Draft, Mar-2025</w:t>
            </w:r>
          </w:p>
        </w:tc>
        <w:tc>
          <w:tcPr>
            <w:tcW w:type="dxa" w:w="2560"/>
            <w:tcMar>
              <w:top w:type="dxa" w:w="70"/>
              <w:left w:type="dxa" w:w="90"/>
              <w:bottom w:type="dxa" w:w="70"/>
              <w:right w:type="dxa" w:w="90"/>
            </w:tcMar>
            <w:vAlign w:val="top"/>
          </w:tcPr>
          <w:p>
            <w:r>
              <w:rPr>
                <w:b w:val="false"/>
                <w:bCs w:val="false"/>
                <w:color w:val="000000"/>
                <w:sz w:val="19"/>
                <w:szCs w:val="19"/>
              </w:rPr>
              <w:t xml:space="preserve">MP SSO registration/integration</w:t>
            </w:r>
          </w:p>
        </w:tc>
      </w:tr>
      <w:tr>
        <w:tc>
          <w:tcPr>
            <w:tcW w:type="dxa" w:w="4200"/>
            <w:tcMar>
              <w:top w:type="dxa" w:w="70"/>
              <w:left w:type="dxa" w:w="90"/>
              <w:bottom w:type="dxa" w:w="70"/>
              <w:right w:type="dxa" w:w="90"/>
            </w:tcMar>
            <w:vAlign w:val="top"/>
          </w:tcPr>
          <w:p>
            <w:r>
              <w:rPr>
                <w:b w:val="false"/>
                <w:bCs w:val="false"/>
                <w:color w:val="000000"/>
                <w:sz w:val="19"/>
                <w:szCs w:val="19"/>
              </w:rPr>
              <w:t xml:space="preserve">MPGeo ↔ Parakh Integration Document</w:t>
            </w:r>
          </w:p>
        </w:tc>
        <w:tc>
          <w:tcPr>
            <w:tcW w:type="dxa" w:w="2600"/>
            <w:tcMar>
              <w:top w:type="dxa" w:w="70"/>
              <w:left w:type="dxa" w:w="90"/>
              <w:bottom w:type="dxa" w:w="70"/>
              <w:right w:type="dxa" w:w="90"/>
            </w:tcMar>
            <w:vAlign w:val="top"/>
          </w:tcPr>
          <w:p>
            <w:r>
              <w:rPr>
                <w:b w:val="false"/>
                <w:bCs w:val="false"/>
                <w:color w:val="000000"/>
                <w:sz w:val="19"/>
                <w:szCs w:val="19"/>
              </w:rPr>
              <w:t xml:space="preserve">V1.0 Draft</w:t>
            </w:r>
          </w:p>
        </w:tc>
        <w:tc>
          <w:tcPr>
            <w:tcW w:type="dxa" w:w="2560"/>
            <w:tcMar>
              <w:top w:type="dxa" w:w="70"/>
              <w:left w:type="dxa" w:w="90"/>
              <w:bottom w:type="dxa" w:w="70"/>
              <w:right w:type="dxa" w:w="90"/>
            </w:tcMar>
            <w:vAlign w:val="top"/>
          </w:tcPr>
          <w:p>
            <w:r>
              <w:rPr>
                <w:b w:val="false"/>
                <w:bCs w:val="false"/>
                <w:color w:val="000000"/>
                <w:sz w:val="19"/>
                <w:szCs w:val="19"/>
              </w:rPr>
              <w:t xml:space="preserve">GIS geoportal data-sharing</w:t>
            </w:r>
          </w:p>
        </w:tc>
      </w:tr>
      <w:tr>
        <w:tc>
          <w:tcPr>
            <w:tcW w:type="dxa" w:w="4200"/>
            <w:tcMar>
              <w:top w:type="dxa" w:w="70"/>
              <w:left w:type="dxa" w:w="90"/>
              <w:bottom w:type="dxa" w:w="70"/>
              <w:right w:type="dxa" w:w="90"/>
            </w:tcMar>
            <w:vAlign w:val="top"/>
          </w:tcPr>
          <w:p>
            <w:r>
              <w:rPr>
                <w:b w:val="false"/>
                <w:bCs w:val="false"/>
                <w:color w:val="000000"/>
                <w:sz w:val="19"/>
                <w:szCs w:val="19"/>
              </w:rPr>
              <w:t xml:space="preserve">BRD — MP Cooperative Nirikshan Module</w:t>
            </w:r>
          </w:p>
        </w:tc>
        <w:tc>
          <w:tcPr>
            <w:tcW w:type="dxa" w:w="2600"/>
            <w:tcMar>
              <w:top w:type="dxa" w:w="70"/>
              <w:left w:type="dxa" w:w="90"/>
              <w:bottom w:type="dxa" w:w="70"/>
              <w:right w:type="dxa" w:w="90"/>
            </w:tcMar>
            <w:vAlign w:val="top"/>
          </w:tcPr>
          <w:p>
            <w:r>
              <w:rPr>
                <w:b w:val="false"/>
                <w:bCs w:val="false"/>
                <w:color w:val="000000"/>
                <w:sz w:val="19"/>
                <w:szCs w:val="19"/>
              </w:rPr>
              <w:t xml:space="preserve">V2.1, 29-Jul-2026</w:t>
            </w:r>
          </w:p>
        </w:tc>
        <w:tc>
          <w:tcPr>
            <w:tcW w:type="dxa" w:w="2560"/>
            <w:tcMar>
              <w:top w:type="dxa" w:w="70"/>
              <w:left w:type="dxa" w:w="90"/>
              <w:bottom w:type="dxa" w:w="70"/>
              <w:right w:type="dxa" w:w="90"/>
            </w:tcMar>
            <w:vAlign w:val="top"/>
          </w:tcPr>
          <w:p>
            <w:r>
              <w:rPr>
                <w:b w:val="false"/>
                <w:bCs w:val="false"/>
                <w:color w:val="000000"/>
                <w:sz w:val="19"/>
                <w:szCs w:val="19"/>
              </w:rPr>
              <w:t xml:space="preserve">Cooperative Dept inspection workflow</w:t>
            </w:r>
          </w:p>
        </w:tc>
      </w:tr>
      <w:tr>
        <w:tc>
          <w:tcPr>
            <w:tcW w:type="dxa" w:w="4200"/>
            <w:tcMar>
              <w:top w:type="dxa" w:w="70"/>
              <w:left w:type="dxa" w:w="90"/>
              <w:bottom w:type="dxa" w:w="70"/>
              <w:right w:type="dxa" w:w="90"/>
            </w:tcMar>
            <w:vAlign w:val="top"/>
          </w:tcPr>
          <w:p>
            <w:r>
              <w:rPr>
                <w:b w:val="false"/>
                <w:bCs w:val="false"/>
                <w:color w:val="000000"/>
                <w:sz w:val="19"/>
                <w:szCs w:val="19"/>
              </w:rPr>
              <w:t xml:space="preserve">Nirikshan Table Column Changes (Old vs New)</w:t>
            </w:r>
          </w:p>
        </w:tc>
        <w:tc>
          <w:tcPr>
            <w:tcW w:type="dxa" w:w="2600"/>
            <w:tcMar>
              <w:top w:type="dxa" w:w="70"/>
              <w:left w:type="dxa" w:w="90"/>
              <w:bottom w:type="dxa" w:w="70"/>
              <w:right w:type="dxa" w:w="90"/>
            </w:tcMar>
            <w:vAlign w:val="top"/>
          </w:tcPr>
          <w:p>
            <w:r>
              <w:rPr>
                <w:b w:val="false"/>
                <w:bCs w:val="false"/>
                <w:color w:val="000000"/>
                <w:sz w:val="19"/>
                <w:szCs w:val="19"/>
              </w:rPr>
              <w:t xml:space="preserve">23-Jul-2026</w:t>
            </w:r>
          </w:p>
        </w:tc>
        <w:tc>
          <w:tcPr>
            <w:tcW w:type="dxa" w:w="2560"/>
            <w:tcMar>
              <w:top w:type="dxa" w:w="70"/>
              <w:left w:type="dxa" w:w="90"/>
              <w:bottom w:type="dxa" w:w="70"/>
              <w:right w:type="dxa" w:w="90"/>
            </w:tcMar>
            <w:vAlign w:val="top"/>
          </w:tcPr>
          <w:p>
            <w:r>
              <w:rPr>
                <w:b w:val="false"/>
                <w:bCs w:val="false"/>
                <w:color w:val="000000"/>
                <w:sz w:val="19"/>
                <w:szCs w:val="19"/>
              </w:rPr>
              <w:t xml:space="preserve">Cooperative form field-level change log</w:t>
            </w:r>
          </w:p>
        </w:tc>
      </w:tr>
      <w:tr>
        <w:tc>
          <w:tcPr>
            <w:tcW w:type="dxa" w:w="4200"/>
            <w:tcMar>
              <w:top w:type="dxa" w:w="70"/>
              <w:left w:type="dxa" w:w="90"/>
              <w:bottom w:type="dxa" w:w="70"/>
              <w:right w:type="dxa" w:w="90"/>
            </w:tcMar>
            <w:vAlign w:val="top"/>
          </w:tcPr>
          <w:p>
            <w:r>
              <w:rPr>
                <w:b w:val="false"/>
                <w:bCs w:val="false"/>
                <w:color w:val="000000"/>
                <w:sz w:val="19"/>
                <w:szCs w:val="19"/>
              </w:rPr>
              <w:t xml:space="preserve">User Manual — Indore Inspection Forms</w:t>
            </w:r>
          </w:p>
        </w:tc>
        <w:tc>
          <w:tcPr>
            <w:tcW w:type="dxa" w:w="2600"/>
            <w:tcMar>
              <w:top w:type="dxa" w:w="70"/>
              <w:left w:type="dxa" w:w="90"/>
              <w:bottom w:type="dxa" w:w="70"/>
              <w:right w:type="dxa" w:w="90"/>
            </w:tcMar>
            <w:vAlign w:val="top"/>
          </w:tcPr>
          <w:p>
            <w:r>
              <w:rPr>
                <w:b w:val="false"/>
                <w:bCs w:val="false"/>
                <w:color w:val="000000"/>
                <w:sz w:val="19"/>
                <w:szCs w:val="19"/>
              </w:rPr>
              <w:t xml:space="preserve">V2.0</w:t>
            </w:r>
          </w:p>
        </w:tc>
        <w:tc>
          <w:tcPr>
            <w:tcW w:type="dxa" w:w="2560"/>
            <w:tcMar>
              <w:top w:type="dxa" w:w="70"/>
              <w:left w:type="dxa" w:w="90"/>
              <w:bottom w:type="dxa" w:w="70"/>
              <w:right w:type="dxa" w:w="90"/>
            </w:tcMar>
            <w:vAlign w:val="top"/>
          </w:tcPr>
          <w:p>
            <w:r>
              <w:rPr>
                <w:b w:val="false"/>
                <w:bCs w:val="false"/>
                <w:color w:val="000000"/>
                <w:sz w:val="19"/>
                <w:szCs w:val="19"/>
              </w:rPr>
              <w:t xml:space="preserve">Indore Division 17-dept rollout</w:t>
            </w:r>
          </w:p>
        </w:tc>
      </w:tr>
      <w:tr>
        <w:tc>
          <w:tcPr>
            <w:tcW w:type="dxa" w:w="4200"/>
            <w:tcMar>
              <w:top w:type="dxa" w:w="70"/>
              <w:left w:type="dxa" w:w="90"/>
              <w:bottom w:type="dxa" w:w="70"/>
              <w:right w:type="dxa" w:w="90"/>
            </w:tcMar>
            <w:vAlign w:val="top"/>
          </w:tcPr>
          <w:p>
            <w:r>
              <w:rPr>
                <w:b w:val="false"/>
                <w:bCs w:val="false"/>
                <w:color w:val="000000"/>
                <w:sz w:val="19"/>
                <w:szCs w:val="19"/>
              </w:rPr>
              <w:t xml:space="preserve">PNRD RES User &amp; Work Assignment Manual</w:t>
            </w:r>
          </w:p>
        </w:tc>
        <w:tc>
          <w:tcPr>
            <w:tcW w:type="dxa" w:w="2600"/>
            <w:tcMar>
              <w:top w:type="dxa" w:w="70"/>
              <w:left w:type="dxa" w:w="90"/>
              <w:bottom w:type="dxa" w:w="70"/>
              <w:right w:type="dxa" w:w="90"/>
            </w:tcMar>
            <w:vAlign w:val="top"/>
          </w:tcPr>
          <w:p>
            <w:r>
              <w:rPr>
                <w:b w:val="false"/>
                <w:bCs w:val="false"/>
                <w:color w:val="000000"/>
                <w:sz w:val="19"/>
                <w:szCs w:val="19"/>
              </w:rPr>
              <w:t xml:space="preserve">—</w:t>
            </w:r>
          </w:p>
        </w:tc>
        <w:tc>
          <w:tcPr>
            <w:tcW w:type="dxa" w:w="2560"/>
            <w:tcMar>
              <w:top w:type="dxa" w:w="70"/>
              <w:left w:type="dxa" w:w="90"/>
              <w:bottom w:type="dxa" w:w="70"/>
              <w:right w:type="dxa" w:w="90"/>
            </w:tcMar>
            <w:vAlign w:val="top"/>
          </w:tcPr>
          <w:p>
            <w:r>
              <w:rPr>
                <w:b w:val="false"/>
                <w:bCs w:val="false"/>
                <w:color w:val="000000"/>
                <w:sz w:val="19"/>
                <w:szCs w:val="19"/>
              </w:rPr>
              <w:t xml:space="preserve">Panchayat &amp; Rural Dev. work assignment</w:t>
            </w:r>
          </w:p>
        </w:tc>
      </w:tr>
      <w:tr>
        <w:tc>
          <w:tcPr>
            <w:tcW w:type="dxa" w:w="4200"/>
            <w:tcMar>
              <w:top w:type="dxa" w:w="70"/>
              <w:left w:type="dxa" w:w="90"/>
              <w:bottom w:type="dxa" w:w="70"/>
              <w:right w:type="dxa" w:w="90"/>
            </w:tcMar>
            <w:vAlign w:val="top"/>
          </w:tcPr>
          <w:p>
            <w:r>
              <w:rPr>
                <w:b w:val="false"/>
                <w:bCs w:val="false"/>
                <w:color w:val="000000"/>
                <w:sz w:val="19"/>
                <w:szCs w:val="19"/>
              </w:rPr>
              <w:t xml:space="preserve">Asset Survey BRD/User Manual (PHED)</w:t>
            </w:r>
          </w:p>
        </w:tc>
        <w:tc>
          <w:tcPr>
            <w:tcW w:type="dxa" w:w="2600"/>
            <w:tcMar>
              <w:top w:type="dxa" w:w="70"/>
              <w:left w:type="dxa" w:w="90"/>
              <w:bottom w:type="dxa" w:w="70"/>
              <w:right w:type="dxa" w:w="90"/>
            </w:tcMar>
            <w:vAlign w:val="top"/>
          </w:tcPr>
          <w:p>
            <w:r>
              <w:rPr>
                <w:b w:val="false"/>
                <w:bCs w:val="false"/>
                <w:color w:val="000000"/>
                <w:sz w:val="19"/>
                <w:szCs w:val="19"/>
              </w:rPr>
              <w:t xml:space="preserve">24-Jul-2026</w:t>
            </w:r>
          </w:p>
        </w:tc>
        <w:tc>
          <w:tcPr>
            <w:tcW w:type="dxa" w:w="2560"/>
            <w:tcMar>
              <w:top w:type="dxa" w:w="70"/>
              <w:left w:type="dxa" w:w="90"/>
              <w:bottom w:type="dxa" w:w="70"/>
              <w:right w:type="dxa" w:w="90"/>
            </w:tcMar>
            <w:vAlign w:val="top"/>
          </w:tcPr>
          <w:p>
            <w:r>
              <w:rPr>
                <w:b w:val="false"/>
                <w:bCs w:val="false"/>
                <w:color w:val="000000"/>
                <w:sz w:val="19"/>
                <w:szCs w:val="19"/>
              </w:rPr>
              <w:t xml:space="preserve">PHED asset survey module</w:t>
            </w:r>
          </w:p>
        </w:tc>
      </w:tr>
      <w:tr>
        <w:tc>
          <w:tcPr>
            <w:tcW w:type="dxa" w:w="4200"/>
            <w:tcMar>
              <w:top w:type="dxa" w:w="70"/>
              <w:left w:type="dxa" w:w="90"/>
              <w:bottom w:type="dxa" w:w="70"/>
              <w:right w:type="dxa" w:w="90"/>
            </w:tcMar>
            <w:vAlign w:val="top"/>
          </w:tcPr>
          <w:p>
            <w:r>
              <w:rPr>
                <w:b w:val="false"/>
                <w:bCs w:val="false"/>
                <w:color w:val="000000"/>
                <w:sz w:val="19"/>
                <w:szCs w:val="19"/>
              </w:rPr>
              <w:t xml:space="preserve">Complete Parakh Application — About/Features &amp; Usage</w:t>
            </w:r>
          </w:p>
        </w:tc>
        <w:tc>
          <w:tcPr>
            <w:tcW w:type="dxa" w:w="2600"/>
            <w:tcMar>
              <w:top w:type="dxa" w:w="70"/>
              <w:left w:type="dxa" w:w="90"/>
              <w:bottom w:type="dxa" w:w="70"/>
              <w:right w:type="dxa" w:w="90"/>
            </w:tcMar>
            <w:vAlign w:val="top"/>
          </w:tcPr>
          <w:p>
            <w:r>
              <w:rPr>
                <w:b w:val="false"/>
                <w:bCs w:val="false"/>
                <w:color w:val="000000"/>
                <w:sz w:val="19"/>
                <w:szCs w:val="19"/>
              </w:rPr>
              <w:t xml:space="preserve">V3</w:t>
            </w:r>
          </w:p>
        </w:tc>
        <w:tc>
          <w:tcPr>
            <w:tcW w:type="dxa" w:w="2560"/>
            <w:tcMar>
              <w:top w:type="dxa" w:w="70"/>
              <w:left w:type="dxa" w:w="90"/>
              <w:bottom w:type="dxa" w:w="70"/>
              <w:right w:type="dxa" w:w="90"/>
            </w:tcMar>
            <w:vAlign w:val="top"/>
          </w:tcPr>
          <w:p>
            <w:r>
              <w:rPr>
                <w:b w:val="false"/>
                <w:bCs w:val="false"/>
                <w:color w:val="000000"/>
                <w:sz w:val="19"/>
                <w:szCs w:val="19"/>
              </w:rPr>
              <w:t xml:space="preserve">Platform overview &amp; case studies</w:t>
            </w:r>
          </w:p>
        </w:tc>
      </w:tr>
      <w:tr>
        <w:tc>
          <w:tcPr>
            <w:tcW w:type="dxa" w:w="4200"/>
            <w:tcMar>
              <w:top w:type="dxa" w:w="70"/>
              <w:left w:type="dxa" w:w="90"/>
              <w:bottom w:type="dxa" w:w="70"/>
              <w:right w:type="dxa" w:w="90"/>
            </w:tcMar>
            <w:vAlign w:val="top"/>
          </w:tcPr>
          <w:p>
            <w:r>
              <w:rPr>
                <w:b w:val="false"/>
                <w:bCs w:val="false"/>
                <w:color w:val="000000"/>
                <w:sz w:val="19"/>
                <w:szCs w:val="19"/>
              </w:rPr>
              <w:t xml:space="preserve">Sagar Collectorate Circular — CM Jan Vishwas Abhiyaan</w:t>
            </w:r>
          </w:p>
        </w:tc>
        <w:tc>
          <w:tcPr>
            <w:tcW w:type="dxa" w:w="2600"/>
            <w:tcMar>
              <w:top w:type="dxa" w:w="70"/>
              <w:left w:type="dxa" w:w="90"/>
              <w:bottom w:type="dxa" w:w="70"/>
              <w:right w:type="dxa" w:w="90"/>
            </w:tcMar>
            <w:vAlign w:val="top"/>
          </w:tcPr>
          <w:p>
            <w:r>
              <w:rPr>
                <w:b w:val="false"/>
                <w:bCs w:val="false"/>
                <w:color w:val="000000"/>
                <w:sz w:val="19"/>
                <w:szCs w:val="19"/>
              </w:rPr>
              <w:t xml:space="preserve">Aug-2026</w:t>
            </w:r>
          </w:p>
        </w:tc>
        <w:tc>
          <w:tcPr>
            <w:tcW w:type="dxa" w:w="2560"/>
            <w:tcMar>
              <w:top w:type="dxa" w:w="70"/>
              <w:left w:type="dxa" w:w="90"/>
              <w:bottom w:type="dxa" w:w="70"/>
              <w:right w:type="dxa" w:w="90"/>
            </w:tcMar>
            <w:vAlign w:val="top"/>
          </w:tcPr>
          <w:p>
            <w:r>
              <w:rPr>
                <w:b w:val="false"/>
                <w:bCs w:val="false"/>
                <w:color w:val="000000"/>
                <w:sz w:val="19"/>
                <w:szCs w:val="19"/>
              </w:rPr>
              <w:t xml:space="preserve">Mandatory app-usage directive</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User Story Register v2 + DOU</w:t>
            </w:r>
          </w:p>
        </w:tc>
        <w:tc>
          <w:tcPr>
            <w:tcW w:type="dxa" w:w="2600"/>
            <w:tcMar>
              <w:top w:type="dxa" w:w="70"/>
              <w:left w:type="dxa" w:w="90"/>
              <w:bottom w:type="dxa" w:w="70"/>
              <w:right w:type="dxa" w:w="90"/>
            </w:tcMar>
            <w:vAlign w:val="top"/>
          </w:tcPr>
          <w:p>
            <w:r>
              <w:rPr>
                <w:b w:val="false"/>
                <w:bCs w:val="false"/>
                <w:color w:val="000000"/>
                <w:sz w:val="19"/>
                <w:szCs w:val="19"/>
              </w:rPr>
              <w:t xml:space="preserve">18-Aug-2026</w:t>
            </w:r>
          </w:p>
        </w:tc>
        <w:tc>
          <w:tcPr>
            <w:tcW w:type="dxa" w:w="2560"/>
            <w:tcMar>
              <w:top w:type="dxa" w:w="70"/>
              <w:left w:type="dxa" w:w="90"/>
              <w:bottom w:type="dxa" w:w="70"/>
              <w:right w:type="dxa" w:w="90"/>
            </w:tcMar>
            <w:vAlign w:val="top"/>
          </w:tcPr>
          <w:p>
            <w:r>
              <w:rPr>
                <w:b w:val="false"/>
                <w:bCs w:val="false"/>
                <w:color w:val="000000"/>
                <w:sz w:val="19"/>
                <w:szCs w:val="19"/>
              </w:rPr>
              <w:t xml:space="preserve">Delivery backlog &amp; estimation basis</w:t>
            </w:r>
          </w:p>
        </w:tc>
      </w:tr>
    </w:tbl>
    <w:p>
      <w:r>
        <w:br w:type="page"/>
      </w:r>
    </w:p>
    <w:p>
      <w:pPr>
        <w:pStyle w:val="Heading1"/>
        <w:spacing w:after="140" w:before="320"/>
      </w:pPr>
      <w:r>
        <w:t xml:space="preserve">1. Executive Summary</w:t>
      </w:r>
    </w:p>
    <w:p>
      <w:pPr>
        <w:pStyle w:val="Heading1"/>
        <w:spacing w:after="140" w:before="320"/>
      </w:pPr>
      <w:r>
        <w:t xml:space="preserve">2. Purpose &amp; Business Objectives</w:t>
      </w:r>
    </w:p>
    <w:p>
      <w:pPr>
        <w:pStyle w:val="Heading2"/>
        <w:spacing w:after="100" w:before="220"/>
      </w:pPr>
      <w:r>
        <w:t xml:space="preserve">2.1 Purpose of the Platform</w:t>
      </w:r>
    </w:p>
    <w:p>
      <w:pPr>
        <w:pStyle w:val="Heading2"/>
        <w:spacing w:after="100" w:before="220"/>
      </w:pPr>
      <w:r>
        <w:t xml:space="preserve">2.2 Business Objectives</w:t>
      </w:r>
    </w:p>
    <w:p>
      <w:pPr>
        <w:pStyle w:val="ListParagraph"/>
        <w:numPr>
          <w:ilvl w:val="0"/>
          <w:numId w:val="1"/>
        </w:numPr>
        <w:spacing w:after="60"/>
      </w:pPr>
      <w:r>
        <w:rPr>
          <w:sz w:val="21"/>
          <w:szCs w:val="21"/>
        </w:rPr>
        <w:t xml:space="preserve">Digitise field inspection, survey, and data-collection workflows for any government department without a bespoke software build per department.</w:t>
      </w:r>
    </w:p>
    <w:p>
      <w:pPr>
        <w:pStyle w:val="ListParagraph"/>
        <w:numPr>
          <w:ilvl w:val="0"/>
          <w:numId w:val="1"/>
        </w:numPr>
        <w:spacing w:after="60"/>
      </w:pPr>
      <w:r>
        <w:rPr>
          <w:sz w:val="21"/>
          <w:szCs w:val="21"/>
        </w:rPr>
        <w:t xml:space="preserve">Provide geo-tagged, timestamped, photographic evidence for every inspection, closing the audit gap inherent in paper registers.</w:t>
      </w:r>
    </w:p>
    <w:p>
      <w:pPr>
        <w:pStyle w:val="ListParagraph"/>
        <w:numPr>
          <w:ilvl w:val="0"/>
          <w:numId w:val="1"/>
        </w:numPr>
        <w:spacing w:after="60"/>
      </w:pPr>
      <w:r>
        <w:rPr>
          <w:sz w:val="21"/>
          <w:szCs w:val="21"/>
        </w:rPr>
        <w:t xml:space="preserve">Give District Collectors and Divisional Commissioners a role-scoped, real-time monitoring view of inspection compliance across all departments under them.</w:t>
      </w:r>
    </w:p>
    <w:p>
      <w:pPr>
        <w:pStyle w:val="ListParagraph"/>
        <w:numPr>
          <w:ilvl w:val="0"/>
          <w:numId w:val="1"/>
        </w:numPr>
        <w:spacing w:after="60"/>
      </w:pPr>
      <w:r>
        <w:rPr>
          <w:sz w:val="21"/>
          <w:szCs w:val="21"/>
        </w:rPr>
        <w:t xml:space="preserve">Enable rapid onboarding — new department forms can go from requirement letter to production in a defined multi-phase cycle without custom development for standard form types.</w:t>
      </w:r>
    </w:p>
    <w:p>
      <w:pPr>
        <w:pStyle w:val="ListParagraph"/>
        <w:numPr>
          <w:ilvl w:val="0"/>
          <w:numId w:val="1"/>
        </w:numPr>
        <w:spacing w:after="60"/>
      </w:pPr>
      <w:r>
        <w:rPr>
          <w:sz w:val="21"/>
          <w:szCs w:val="21"/>
        </w:rPr>
        <w:t xml:space="preserve">Support both connected (web) and disconnected/offline (mobile, sync-on-reconnect) field data capture so inspections are not blocked by rural connectivity gaps.</w:t>
      </w:r>
    </w:p>
    <w:p>
      <w:pPr>
        <w:pStyle w:val="ListParagraph"/>
        <w:numPr>
          <w:ilvl w:val="0"/>
          <w:numId w:val="1"/>
        </w:numPr>
        <w:spacing w:after="60"/>
      </w:pPr>
      <w:r>
        <w:rPr>
          <w:sz w:val="21"/>
          <w:szCs w:val="21"/>
        </w:rPr>
        <w:t xml:space="preserve">Integrate spatial (GIS) context by exposing inspection data on the state's MPGeo Geoportal, and integrate identity via MP's central Single Sign-On (SSO) service.</w:t>
      </w:r>
    </w:p>
    <w:p>
      <w:pPr>
        <w:pStyle w:val="ListParagraph"/>
        <w:numPr>
          <w:ilvl w:val="0"/>
          <w:numId w:val="1"/>
        </w:numPr>
        <w:spacing w:after="60"/>
      </w:pPr>
      <w:r>
        <w:rPr>
          <w:sz w:val="21"/>
          <w:szCs w:val="21"/>
        </w:rPr>
        <w:t xml:space="preserve">Maintain CMMI Level 5 process discipline (versioned manuals, document approval sign-off, structured change logs) across all module documentation.</w:t>
      </w:r>
    </w:p>
    <w:p>
      <w:pPr>
        <w:pStyle w:val="Heading1"/>
        <w:spacing w:after="140" w:before="320"/>
      </w:pPr>
      <w:r>
        <w:t xml:space="preserve">3. Scope of the Platform</w:t>
      </w:r>
    </w:p>
    <w:p>
      <w:pPr>
        <w:pStyle w:val="Heading2"/>
        <w:spacing w:after="100" w:before="220"/>
      </w:pPr>
      <w:r>
        <w:t xml:space="preserve">3.1 In Scope — Delivered / In Progress</w:t>
      </w:r>
    </w:p>
    <w:p>
      <w:pPr>
        <w:pStyle w:val="ListParagraph"/>
        <w:numPr>
          <w:ilvl w:val="0"/>
          <w:numId w:val="1"/>
        </w:numPr>
        <w:spacing w:after="60"/>
      </w:pPr>
      <w:r>
        <w:rPr>
          <w:sz w:val="21"/>
          <w:szCs w:val="21"/>
        </w:rPr>
        <w:t xml:space="preserve">Core form types: Data Collection Form, Department General Form, Inspection Form, Questionnaire Form, Survey Form, and General Form (for Citizen users).</w:t>
      </w:r>
    </w:p>
    <w:p>
      <w:pPr>
        <w:pStyle w:val="ListParagraph"/>
        <w:numPr>
          <w:ilvl w:val="0"/>
          <w:numId w:val="1"/>
        </w:numPr>
        <w:spacing w:after="60"/>
      </w:pPr>
      <w:r>
        <w:rPr>
          <w:sz w:val="21"/>
          <w:szCs w:val="21"/>
        </w:rPr>
        <w:t xml:space="preserve">Three user categories: Citizen Users (General Forms only), Department Users (all form types, inspections, surveys, data collection, reports), and Agency/Vendor Users (all form types, contracted field work).</w:t>
      </w:r>
    </w:p>
    <w:p>
      <w:pPr>
        <w:pStyle w:val="ListParagraph"/>
        <w:numPr>
          <w:ilvl w:val="0"/>
          <w:numId w:val="1"/>
        </w:numPr>
        <w:spacing w:after="60"/>
      </w:pPr>
      <w:r>
        <w:rPr>
          <w:sz w:val="21"/>
          <w:szCs w:val="21"/>
        </w:rPr>
        <w:t xml:space="preserve">Web portal and Android mobile application with equivalent core functionality.</w:t>
      </w:r>
    </w:p>
    <w:p>
      <w:pPr>
        <w:pStyle w:val="ListParagraph"/>
        <w:numPr>
          <w:ilvl w:val="0"/>
          <w:numId w:val="1"/>
        </w:numPr>
        <w:spacing w:after="60"/>
      </w:pPr>
      <w:r>
        <w:rPr>
          <w:sz w:val="21"/>
          <w:szCs w:val="21"/>
        </w:rPr>
        <w:t xml:space="preserve">Dynamic Form Creation module for department administrators (no-code form/question authoring).</w:t>
      </w:r>
    </w:p>
    <w:p>
      <w:pPr>
        <w:pStyle w:val="ListParagraph"/>
        <w:numPr>
          <w:ilvl w:val="0"/>
          <w:numId w:val="1"/>
        </w:numPr>
        <w:spacing w:after="60"/>
      </w:pPr>
      <w:r>
        <w:rPr>
          <w:sz w:val="21"/>
          <w:szCs w:val="21"/>
        </w:rPr>
        <w:t xml:space="preserve">Form Onboarding lifecycle for new departments/forms (7-phase process, Section 5.3).</w:t>
      </w:r>
    </w:p>
    <w:p>
      <w:pPr>
        <w:pStyle w:val="ListParagraph"/>
        <w:numPr>
          <w:ilvl w:val="0"/>
          <w:numId w:val="1"/>
        </w:numPr>
        <w:spacing w:after="60"/>
      </w:pPr>
      <w:r>
        <w:rPr>
          <w:sz w:val="21"/>
          <w:szCs w:val="21"/>
        </w:rPr>
        <w:t xml:space="preserve">Field Inspection &amp; Survey capture (Site Inspection, Sudden/ad-hoc Inspection, Asset Survey).</w:t>
      </w:r>
    </w:p>
    <w:p>
      <w:pPr>
        <w:pStyle w:val="ListParagraph"/>
        <w:numPr>
          <w:ilvl w:val="0"/>
          <w:numId w:val="1"/>
        </w:numPr>
        <w:spacing w:after="60"/>
      </w:pPr>
      <w:r>
        <w:rPr>
          <w:sz w:val="21"/>
          <w:szCs w:val="21"/>
        </w:rPr>
        <w:t xml:space="preserve">Asset lifecycle management: User Creation &amp; Approval → Asset Creation (single &amp; bulk) → Asset Assignment (one-time and recurring/frequency-based) → Asset Survey.</w:t>
      </w:r>
    </w:p>
    <w:p>
      <w:pPr>
        <w:pStyle w:val="ListParagraph"/>
        <w:numPr>
          <w:ilvl w:val="0"/>
          <w:numId w:val="1"/>
        </w:numPr>
        <w:spacing w:after="60"/>
      </w:pPr>
      <w:r>
        <w:rPr>
          <w:sz w:val="21"/>
          <w:szCs w:val="21"/>
        </w:rPr>
        <w:t xml:space="preserve">Reports module: Completed Surveys &amp; Inspections, Surveys &amp; Inspections Form, General Form Report, Sudden Inspection Report, Asset Survey Report — with State-Admin-triggered data synchronisation.</w:t>
      </w:r>
    </w:p>
    <w:p>
      <w:pPr>
        <w:pStyle w:val="ListParagraph"/>
        <w:numPr>
          <w:ilvl w:val="0"/>
          <w:numId w:val="1"/>
        </w:numPr>
        <w:spacing w:after="60"/>
      </w:pPr>
      <w:r>
        <w:rPr>
          <w:sz w:val="21"/>
          <w:szCs w:val="21"/>
        </w:rPr>
        <w:t xml:space="preserve">District/department multi-form rollouts: Betul (8 forms), Damoh (13 forms), Indore Division (17 departments / 58 institution types, two-phase Collectorate + Divisional workflow), and 55+ other districts/departments per the PSR Initiatives log.</w:t>
      </w:r>
    </w:p>
    <w:p>
      <w:pPr>
        <w:pStyle w:val="ListParagraph"/>
        <w:numPr>
          <w:ilvl w:val="0"/>
          <w:numId w:val="1"/>
        </w:numPr>
        <w:spacing w:after="60"/>
      </w:pPr>
      <w:r>
        <w:rPr>
          <w:sz w:val="21"/>
          <w:szCs w:val="21"/>
        </w:rPr>
        <w:t xml:space="preserve">MP Cooperative Society Nirikshan module — a 13-section (A–M) digital inspection format with Rooster/assignment, compliance dashboard, and e-Sign.</w:t>
      </w:r>
    </w:p>
    <w:p>
      <w:pPr>
        <w:pStyle w:val="ListParagraph"/>
        <w:numPr>
          <w:ilvl w:val="0"/>
          <w:numId w:val="1"/>
        </w:numPr>
        <w:spacing w:after="60"/>
      </w:pPr>
      <w:r>
        <w:rPr>
          <w:sz w:val="21"/>
          <w:szCs w:val="21"/>
        </w:rPr>
        <w:t xml:space="preserve">PNRD (Panchayat &amp; Rural Development) RES user and work-assignment workflow.</w:t>
      </w:r>
    </w:p>
    <w:p>
      <w:pPr>
        <w:pStyle w:val="ListParagraph"/>
        <w:numPr>
          <w:ilvl w:val="0"/>
          <w:numId w:val="1"/>
        </w:numPr>
        <w:spacing w:after="60"/>
      </w:pPr>
      <w:r>
        <w:rPr>
          <w:sz w:val="21"/>
          <w:szCs w:val="21"/>
        </w:rPr>
        <w:t xml:space="preserve">CTA (Commissioner Treasury &amp; Accounts) Treasury and JD-level inspection forms.</w:t>
      </w:r>
    </w:p>
    <w:p>
      <w:pPr>
        <w:pStyle w:val="ListParagraph"/>
        <w:numPr>
          <w:ilvl w:val="0"/>
          <w:numId w:val="1"/>
        </w:numPr>
        <w:spacing w:after="60"/>
      </w:pPr>
      <w:r>
        <w:rPr>
          <w:sz w:val="21"/>
          <w:szCs w:val="21"/>
        </w:rPr>
        <w:t xml:space="preserve">Integration with MP SSO (sso.mp.gov.in) for application-level authentication, and with the MPGeo Geoportal for map-layer display of inspection records.</w:t>
      </w:r>
    </w:p>
    <w:p>
      <w:pPr>
        <w:pStyle w:val="ListParagraph"/>
        <w:numPr>
          <w:ilvl w:val="0"/>
          <w:numId w:val="1"/>
        </w:numPr>
        <w:spacing w:after="60"/>
      </w:pPr>
      <w:r>
        <w:rPr>
          <w:sz w:val="21"/>
          <w:szCs w:val="21"/>
        </w:rPr>
        <w:t xml:space="preserve">State-mandated adoption drives — e.g. the CM Jan Vishwas Abhiyaan circular directing all Sagar district departments to use PARAKH for asset/building inspections.</w:t>
      </w:r>
    </w:p>
    <w:p>
      <w:pPr>
        <w:pStyle w:val="Heading2"/>
        <w:spacing w:after="100" w:before="220"/>
      </w:pPr>
      <w:r>
        <w:t xml:space="preserve">3.2 Out of Scope / Deferred (Phase 2)</w:t>
      </w:r>
    </w:p>
    <w:p>
      <w:pPr>
        <w:pStyle w:val="ListParagraph"/>
        <w:numPr>
          <w:ilvl w:val="0"/>
          <w:numId w:val="1"/>
        </w:numPr>
        <w:spacing w:after="60"/>
      </w:pPr>
      <w:r>
        <w:rPr>
          <w:sz w:val="21"/>
          <w:szCs w:val="21"/>
        </w:rPr>
        <w:t xml:space="preserve">Full SLA-based automatic escalation and automated closure workflow for the Indore Division inspection workflow — explicitly deferred; only manual Collector-level SLA monitoring is in the current build.</w:t>
      </w:r>
    </w:p>
    <w:p>
      <w:pPr>
        <w:pStyle w:val="ListParagraph"/>
        <w:numPr>
          <w:ilvl w:val="0"/>
          <w:numId w:val="1"/>
        </w:numPr>
        <w:spacing w:after="60"/>
      </w:pPr>
      <w:r>
        <w:rPr>
          <w:sz w:val="21"/>
          <w:szCs w:val="21"/>
        </w:rPr>
        <w:t xml:space="preserve">Formal Action Taken Report (ATR) workflow beyond the Tribal Department pilot — extension to other departments not yet scoped.</w:t>
      </w:r>
    </w:p>
    <w:p>
      <w:pPr>
        <w:pStyle w:val="ListParagraph"/>
        <w:numPr>
          <w:ilvl w:val="0"/>
          <w:numId w:val="1"/>
        </w:numPr>
        <w:spacing w:after="60"/>
      </w:pPr>
      <w:r>
        <w:rPr>
          <w:sz w:val="21"/>
          <w:szCs w:val="21"/>
        </w:rPr>
        <w:t xml:space="preserve">Blank-form PDF/offline-template download (requested by Narsinghpur) — logged as a platform enhancement, not yet built.</w:t>
      </w:r>
    </w:p>
    <w:p>
      <w:pPr>
        <w:pStyle w:val="ListParagraph"/>
        <w:numPr>
          <w:ilvl w:val="0"/>
          <w:numId w:val="1"/>
        </w:numPr>
        <w:spacing w:after="60"/>
      </w:pPr>
      <w:r>
        <w:rPr>
          <w:sz w:val="21"/>
          <w:szCs w:val="21"/>
        </w:rPr>
        <w:t xml:space="preserve">REST-API-based integration for MPGeo (current integration is direct database function calls, by joint agreement, not a REST API).</w:t>
      </w:r>
    </w:p>
    <w:p>
      <w:pPr>
        <w:pStyle w:val="Heading1"/>
        <w:spacing w:after="140" w:before="320"/>
      </w:pPr>
      <w:r>
        <w:t xml:space="preserve">4. Stakeholders &amp; User Roles</w:t>
      </w:r>
    </w:p>
    <w:p>
      <w:pPr>
        <w:pStyle w:val="Heading2"/>
        <w:spacing w:after="100" w:before="220"/>
      </w:pPr>
      <w:r>
        <w:t xml:space="preserve">4.1 Platform-wide User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E74B5" w:val="clear"/>
            <w:tcMar>
              <w:top w:type="dxa" w:w="70"/>
              <w:left w:type="dxa" w:w="90"/>
              <w:bottom w:type="dxa" w:w="70"/>
              <w:right w:type="dxa" w:w="90"/>
            </w:tcMar>
            <w:vAlign w:val="top"/>
          </w:tcPr>
          <w:p>
            <w:r>
              <w:rPr>
                <w:b/>
                <w:bCs/>
                <w:color w:val="FFFFFF"/>
                <w:sz w:val="19"/>
                <w:szCs w:val="19"/>
              </w:rPr>
              <w:t xml:space="preserve">User Category</w:t>
            </w:r>
          </w:p>
        </w:tc>
        <w:tc>
          <w:tcPr>
            <w:tcW w:type="dxa" w:w="6960"/>
            <w:shd w:fill="2E74B5" w:val="clear"/>
            <w:tcMar>
              <w:top w:type="dxa" w:w="70"/>
              <w:left w:type="dxa" w:w="90"/>
              <w:bottom w:type="dxa" w:w="70"/>
              <w:right w:type="dxa" w:w="90"/>
            </w:tcMar>
            <w:vAlign w:val="top"/>
          </w:tcPr>
          <w:p>
            <w:r>
              <w:rPr>
                <w:b/>
                <w:bCs/>
                <w:color w:val="FFFFFF"/>
                <w:sz w:val="19"/>
                <w:szCs w:val="19"/>
              </w:rPr>
              <w:t xml:space="preserve">Access &amp; Behaviour</w:t>
            </w:r>
          </w:p>
        </w:tc>
      </w:tr>
      <w:tr>
        <w:tc>
          <w:tcPr>
            <w:tcW w:type="dxa" w:w="2400"/>
            <w:tcMar>
              <w:top w:type="dxa" w:w="70"/>
              <w:left w:type="dxa" w:w="90"/>
              <w:bottom w:type="dxa" w:w="70"/>
              <w:right w:type="dxa" w:w="90"/>
            </w:tcMar>
            <w:vAlign w:val="top"/>
          </w:tcPr>
          <w:p>
            <w:r>
              <w:rPr>
                <w:b w:val="false"/>
                <w:bCs w:val="false"/>
                <w:color w:val="000000"/>
                <w:sz w:val="19"/>
                <w:szCs w:val="19"/>
              </w:rPr>
              <w:t xml:space="preserve">Citizen Users</w:t>
            </w:r>
          </w:p>
        </w:tc>
        <w:tc>
          <w:tcPr>
            <w:tcW w:type="dxa" w:w="6960"/>
            <w:tcMar>
              <w:top w:type="dxa" w:w="70"/>
              <w:left w:type="dxa" w:w="90"/>
              <w:bottom w:type="dxa" w:w="70"/>
              <w:right w:type="dxa" w:w="90"/>
            </w:tcMar>
            <w:vAlign w:val="top"/>
          </w:tcPr>
          <w:p>
            <w:r>
              <w:rPr>
                <w:b w:val="false"/>
                <w:bCs w:val="false"/>
                <w:color w:val="000000"/>
                <w:sz w:val="19"/>
                <w:szCs w:val="19"/>
              </w:rPr>
              <w:t xml:space="preserve">Access General Forms only, for public data submission and feedback (e.g. New Borewell Request). Self-register via mobile app.</w:t>
            </w:r>
          </w:p>
        </w:tc>
      </w:tr>
      <w:tr>
        <w:tc>
          <w:tcPr>
            <w:tcW w:type="dxa" w:w="2400"/>
            <w:tcMar>
              <w:top w:type="dxa" w:w="70"/>
              <w:left w:type="dxa" w:w="90"/>
              <w:bottom w:type="dxa" w:w="70"/>
              <w:right w:type="dxa" w:w="90"/>
            </w:tcMar>
            <w:vAlign w:val="top"/>
          </w:tcPr>
          <w:p>
            <w:r>
              <w:rPr>
                <w:b w:val="false"/>
                <w:bCs w:val="false"/>
                <w:color w:val="000000"/>
                <w:sz w:val="19"/>
                <w:szCs w:val="19"/>
              </w:rPr>
              <w:t xml:space="preserve">Department Users</w:t>
            </w:r>
          </w:p>
        </w:tc>
        <w:tc>
          <w:tcPr>
            <w:tcW w:type="dxa" w:w="6960"/>
            <w:tcMar>
              <w:top w:type="dxa" w:w="70"/>
              <w:left w:type="dxa" w:w="90"/>
              <w:bottom w:type="dxa" w:w="70"/>
              <w:right w:type="dxa" w:w="90"/>
            </w:tcMar>
            <w:vAlign w:val="top"/>
          </w:tcPr>
          <w:p>
            <w:r>
              <w:rPr>
                <w:b w:val="false"/>
                <w:bCs w:val="false"/>
                <w:color w:val="000000"/>
                <w:sz w:val="19"/>
                <w:szCs w:val="19"/>
              </w:rPr>
              <w:t xml:space="preserve">Access all form types — Data Collection, Department General, Inspection, Questionnaire, Survey. Conduct inspections/surveys, view department reports.</w:t>
            </w:r>
          </w:p>
        </w:tc>
      </w:tr>
      <w:tr>
        <w:tc>
          <w:tcPr>
            <w:tcW w:type="dxa" w:w="2400"/>
            <w:tcMar>
              <w:top w:type="dxa" w:w="70"/>
              <w:left w:type="dxa" w:w="90"/>
              <w:bottom w:type="dxa" w:w="70"/>
              <w:right w:type="dxa" w:w="90"/>
            </w:tcMar>
            <w:vAlign w:val="top"/>
          </w:tcPr>
          <w:p>
            <w:r>
              <w:rPr>
                <w:b w:val="false"/>
                <w:bCs w:val="false"/>
                <w:color w:val="000000"/>
                <w:sz w:val="19"/>
                <w:szCs w:val="19"/>
              </w:rPr>
              <w:t xml:space="preserve">Agency / Vendor Users</w:t>
            </w:r>
          </w:p>
        </w:tc>
        <w:tc>
          <w:tcPr>
            <w:tcW w:type="dxa" w:w="6960"/>
            <w:tcMar>
              <w:top w:type="dxa" w:w="70"/>
              <w:left w:type="dxa" w:w="90"/>
              <w:bottom w:type="dxa" w:w="70"/>
              <w:right w:type="dxa" w:w="90"/>
            </w:tcMar>
            <w:vAlign w:val="top"/>
          </w:tcPr>
          <w:p>
            <w:r>
              <w:rPr>
                <w:b w:val="false"/>
                <w:bCs w:val="false"/>
                <w:color w:val="000000"/>
                <w:sz w:val="19"/>
                <w:szCs w:val="19"/>
              </w:rPr>
              <w:t xml:space="preserve">Access all form types; used by contracted agencies performing field work on a department's behalf (mirrors Department User capability).</w:t>
            </w:r>
          </w:p>
        </w:tc>
      </w:tr>
    </w:tbl>
    <w:p>
      <w:pPr>
        <w:pStyle w:val="Heading2"/>
        <w:spacing w:after="100" w:before="220"/>
      </w:pPr>
      <w:r>
        <w:t xml:space="preserve">4.2 Generic Department Role Hierarchy (core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2E74B5" w:val="clear"/>
            <w:tcMar>
              <w:top w:type="dxa" w:w="70"/>
              <w:left w:type="dxa" w:w="90"/>
              <w:bottom w:type="dxa" w:w="70"/>
              <w:right w:type="dxa" w:w="90"/>
            </w:tcMar>
            <w:vAlign w:val="top"/>
          </w:tcPr>
          <w:p>
            <w:r>
              <w:rPr>
                <w:b/>
                <w:bCs/>
                <w:color w:val="FFFFFF"/>
                <w:sz w:val="19"/>
                <w:szCs w:val="19"/>
              </w:rPr>
              <w:t xml:space="preserve">Role</w:t>
            </w:r>
          </w:p>
        </w:tc>
        <w:tc>
          <w:tcPr>
            <w:tcW w:type="dxa" w:w="2600"/>
            <w:shd w:fill="2E74B5" w:val="clear"/>
            <w:tcMar>
              <w:top w:type="dxa" w:w="70"/>
              <w:left w:type="dxa" w:w="90"/>
              <w:bottom w:type="dxa" w:w="70"/>
              <w:right w:type="dxa" w:w="90"/>
            </w:tcMar>
            <w:vAlign w:val="top"/>
          </w:tcPr>
          <w:p>
            <w:r>
              <w:rPr>
                <w:b/>
                <w:bCs/>
                <w:color w:val="FFFFFF"/>
                <w:sz w:val="19"/>
                <w:szCs w:val="19"/>
              </w:rPr>
              <w:t xml:space="preserve">Created By</w:t>
            </w:r>
          </w:p>
        </w:tc>
        <w:tc>
          <w:tcPr>
            <w:tcW w:type="dxa" w:w="4560"/>
            <w:shd w:fill="2E74B5" w:val="clear"/>
            <w:tcMar>
              <w:top w:type="dxa" w:w="70"/>
              <w:left w:type="dxa" w:w="90"/>
              <w:bottom w:type="dxa" w:w="70"/>
              <w:right w:type="dxa" w:w="90"/>
            </w:tcMar>
            <w:vAlign w:val="top"/>
          </w:tcPr>
          <w:p>
            <w:r>
              <w:rPr>
                <w:b/>
                <w:bCs/>
                <w:color w:val="FFFFFF"/>
                <w:sz w:val="19"/>
                <w:szCs w:val="19"/>
              </w:rPr>
              <w:t xml:space="preserve">Responsibility</w:t>
            </w:r>
          </w:p>
        </w:tc>
      </w:tr>
      <w:tr>
        <w:tc>
          <w:tcPr>
            <w:tcW w:type="dxa" w:w="2200"/>
            <w:tcMar>
              <w:top w:type="dxa" w:w="70"/>
              <w:left w:type="dxa" w:w="90"/>
              <w:bottom w:type="dxa" w:w="70"/>
              <w:right w:type="dxa" w:w="90"/>
            </w:tcMar>
            <w:vAlign w:val="top"/>
          </w:tcPr>
          <w:p>
            <w:r>
              <w:rPr>
                <w:b w:val="false"/>
                <w:bCs w:val="false"/>
                <w:color w:val="000000"/>
                <w:sz w:val="19"/>
                <w:szCs w:val="19"/>
              </w:rPr>
              <w:t xml:space="preserve">State Admin</w:t>
            </w:r>
          </w:p>
        </w:tc>
        <w:tc>
          <w:tcPr>
            <w:tcW w:type="dxa" w:w="2600"/>
            <w:tcMar>
              <w:top w:type="dxa" w:w="70"/>
              <w:left w:type="dxa" w:w="90"/>
              <w:bottom w:type="dxa" w:w="70"/>
              <w:right w:type="dxa" w:w="90"/>
            </w:tcMar>
            <w:vAlign w:val="top"/>
          </w:tcPr>
          <w:p>
            <w:r>
              <w:rPr>
                <w:b w:val="false"/>
                <w:bCs w:val="false"/>
                <w:color w:val="000000"/>
                <w:sz w:val="19"/>
                <w:szCs w:val="19"/>
              </w:rPr>
              <w:t xml:space="preserve">MPSEDC (Super Admin)</w:t>
            </w:r>
          </w:p>
        </w:tc>
        <w:tc>
          <w:tcPr>
            <w:tcW w:type="dxa" w:w="4560"/>
            <w:tcMar>
              <w:top w:type="dxa" w:w="70"/>
              <w:left w:type="dxa" w:w="90"/>
              <w:bottom w:type="dxa" w:w="70"/>
              <w:right w:type="dxa" w:w="90"/>
            </w:tcMar>
            <w:vAlign w:val="top"/>
          </w:tcPr>
          <w:p>
            <w:r>
              <w:rPr>
                <w:b w:val="false"/>
                <w:bCs w:val="false"/>
                <w:color w:val="000000"/>
                <w:sz w:val="19"/>
                <w:szCs w:val="19"/>
              </w:rPr>
              <w:t xml:space="preserve">One per department. Creates Nodal Officers, builds/edits forms, adds departments, questions and designations, views all reports, assigns/adds assets.</w:t>
            </w:r>
          </w:p>
        </w:tc>
      </w:tr>
      <w:tr>
        <w:tc>
          <w:tcPr>
            <w:tcW w:type="dxa" w:w="2200"/>
            <w:tcMar>
              <w:top w:type="dxa" w:w="70"/>
              <w:left w:type="dxa" w:w="90"/>
              <w:bottom w:type="dxa" w:w="70"/>
              <w:right w:type="dxa" w:w="90"/>
            </w:tcMar>
            <w:vAlign w:val="top"/>
          </w:tcPr>
          <w:p>
            <w:r>
              <w:rPr>
                <w:b w:val="false"/>
                <w:bCs w:val="false"/>
                <w:color w:val="000000"/>
                <w:sz w:val="19"/>
                <w:szCs w:val="19"/>
              </w:rPr>
              <w:t xml:space="preserve">Nodal Officer</w:t>
            </w:r>
          </w:p>
        </w:tc>
        <w:tc>
          <w:tcPr>
            <w:tcW w:type="dxa" w:w="2600"/>
            <w:tcMar>
              <w:top w:type="dxa" w:w="70"/>
              <w:left w:type="dxa" w:w="90"/>
              <w:bottom w:type="dxa" w:w="70"/>
              <w:right w:type="dxa" w:w="90"/>
            </w:tcMar>
            <w:vAlign w:val="top"/>
          </w:tcPr>
          <w:p>
            <w:r>
              <w:rPr>
                <w:b w:val="false"/>
                <w:bCs w:val="false"/>
                <w:color w:val="000000"/>
                <w:sz w:val="19"/>
                <w:szCs w:val="19"/>
              </w:rPr>
              <w:t xml:space="preserve">State Admin</w:t>
            </w:r>
          </w:p>
        </w:tc>
        <w:tc>
          <w:tcPr>
            <w:tcW w:type="dxa" w:w="4560"/>
            <w:tcMar>
              <w:top w:type="dxa" w:w="70"/>
              <w:left w:type="dxa" w:w="90"/>
              <w:bottom w:type="dxa" w:w="70"/>
              <w:right w:type="dxa" w:w="90"/>
            </w:tcMar>
            <w:vAlign w:val="top"/>
          </w:tcPr>
          <w:p>
            <w:r>
              <w:rPr>
                <w:b w:val="false"/>
                <w:bCs w:val="false"/>
                <w:color w:val="000000"/>
                <w:sz w:val="19"/>
                <w:szCs w:val="19"/>
              </w:rPr>
              <w:t xml:space="preserve">Creates Reporting Officers; district/department-level oversight.</w:t>
            </w:r>
          </w:p>
        </w:tc>
      </w:tr>
      <w:tr>
        <w:tc>
          <w:tcPr>
            <w:tcW w:type="dxa" w:w="2200"/>
            <w:tcMar>
              <w:top w:type="dxa" w:w="70"/>
              <w:left w:type="dxa" w:w="90"/>
              <w:bottom w:type="dxa" w:w="70"/>
              <w:right w:type="dxa" w:w="90"/>
            </w:tcMar>
            <w:vAlign w:val="top"/>
          </w:tcPr>
          <w:p>
            <w:r>
              <w:rPr>
                <w:b w:val="false"/>
                <w:bCs w:val="false"/>
                <w:color w:val="000000"/>
                <w:sz w:val="19"/>
                <w:szCs w:val="19"/>
              </w:rPr>
              <w:t xml:space="preserve">Reporting Officer</w:t>
            </w:r>
          </w:p>
        </w:tc>
        <w:tc>
          <w:tcPr>
            <w:tcW w:type="dxa" w:w="2600"/>
            <w:tcMar>
              <w:top w:type="dxa" w:w="70"/>
              <w:left w:type="dxa" w:w="90"/>
              <w:bottom w:type="dxa" w:w="70"/>
              <w:right w:type="dxa" w:w="90"/>
            </w:tcMar>
            <w:vAlign w:val="top"/>
          </w:tcPr>
          <w:p>
            <w:r>
              <w:rPr>
                <w:b w:val="false"/>
                <w:bCs w:val="false"/>
                <w:color w:val="000000"/>
                <w:sz w:val="19"/>
                <w:szCs w:val="19"/>
              </w:rPr>
              <w:t xml:space="preserve">Nodal Officer</w:t>
            </w:r>
          </w:p>
        </w:tc>
        <w:tc>
          <w:tcPr>
            <w:tcW w:type="dxa" w:w="4560"/>
            <w:tcMar>
              <w:top w:type="dxa" w:w="70"/>
              <w:left w:type="dxa" w:w="90"/>
              <w:bottom w:type="dxa" w:w="70"/>
              <w:right w:type="dxa" w:w="90"/>
            </w:tcMar>
            <w:vAlign w:val="top"/>
          </w:tcPr>
          <w:p>
            <w:r>
              <w:rPr>
                <w:b w:val="false"/>
                <w:bCs w:val="false"/>
                <w:color w:val="000000"/>
                <w:sz w:val="19"/>
                <w:szCs w:val="19"/>
              </w:rPr>
              <w:t xml:space="preserve">Creates Inspectors; reviews and approves/rejects submitted inspections.</w:t>
            </w:r>
          </w:p>
        </w:tc>
      </w:tr>
      <w:tr>
        <w:tc>
          <w:tcPr>
            <w:tcW w:type="dxa" w:w="2200"/>
            <w:tcMar>
              <w:top w:type="dxa" w:w="70"/>
              <w:left w:type="dxa" w:w="90"/>
              <w:bottom w:type="dxa" w:w="70"/>
              <w:right w:type="dxa" w:w="90"/>
            </w:tcMar>
            <w:vAlign w:val="top"/>
          </w:tcPr>
          <w:p>
            <w:r>
              <w:rPr>
                <w:b w:val="false"/>
                <w:bCs w:val="false"/>
                <w:color w:val="000000"/>
                <w:sz w:val="19"/>
                <w:szCs w:val="19"/>
              </w:rPr>
              <w:t xml:space="preserve">Inspector</w:t>
            </w:r>
          </w:p>
        </w:tc>
        <w:tc>
          <w:tcPr>
            <w:tcW w:type="dxa" w:w="2600"/>
            <w:tcMar>
              <w:top w:type="dxa" w:w="70"/>
              <w:left w:type="dxa" w:w="90"/>
              <w:bottom w:type="dxa" w:w="70"/>
              <w:right w:type="dxa" w:w="90"/>
            </w:tcMar>
            <w:vAlign w:val="top"/>
          </w:tcPr>
          <w:p>
            <w:r>
              <w:rPr>
                <w:b w:val="false"/>
                <w:bCs w:val="false"/>
                <w:color w:val="000000"/>
                <w:sz w:val="19"/>
                <w:szCs w:val="19"/>
              </w:rPr>
              <w:t xml:space="preserve">Reporting Officer</w:t>
            </w:r>
          </w:p>
        </w:tc>
        <w:tc>
          <w:tcPr>
            <w:tcW w:type="dxa" w:w="4560"/>
            <w:tcMar>
              <w:top w:type="dxa" w:w="70"/>
              <w:left w:type="dxa" w:w="90"/>
              <w:bottom w:type="dxa" w:w="70"/>
              <w:right w:type="dxa" w:w="90"/>
            </w:tcMar>
            <w:vAlign w:val="top"/>
          </w:tcPr>
          <w:p>
            <w:r>
              <w:rPr>
                <w:b w:val="false"/>
                <w:bCs w:val="false"/>
                <w:color w:val="000000"/>
                <w:sz w:val="19"/>
                <w:szCs w:val="19"/>
              </w:rPr>
              <w:t xml:space="preserve">Conducts field inspection/survey and submits the checklist against an assigned asset/site.</w:t>
            </w:r>
          </w:p>
        </w:tc>
      </w:tr>
    </w:tbl>
    <w:p>
      <w:pPr>
        <w:pStyle w:val="Heading2"/>
        <w:spacing w:after="100" w:before="220"/>
      </w:pPr>
      <w:r>
        <w:t xml:space="preserve">4.3 Indore Division — Divisional Role Hierarchy (extended, 2-phase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2E74B5" w:val="clear"/>
            <w:tcMar>
              <w:top w:type="dxa" w:w="70"/>
              <w:left w:type="dxa" w:w="90"/>
              <w:bottom w:type="dxa" w:w="70"/>
              <w:right w:type="dxa" w:w="90"/>
            </w:tcMar>
            <w:vAlign w:val="top"/>
          </w:tcPr>
          <w:p>
            <w:r>
              <w:rPr>
                <w:b/>
                <w:bCs/>
                <w:color w:val="FFFFFF"/>
                <w:sz w:val="19"/>
                <w:szCs w:val="19"/>
              </w:rPr>
              <w:t xml:space="preserve">Role</w:t>
            </w:r>
          </w:p>
        </w:tc>
        <w:tc>
          <w:tcPr>
            <w:tcW w:type="dxa" w:w="2200"/>
            <w:shd w:fill="2E74B5" w:val="clear"/>
            <w:tcMar>
              <w:top w:type="dxa" w:w="70"/>
              <w:left w:type="dxa" w:w="90"/>
              <w:bottom w:type="dxa" w:w="70"/>
              <w:right w:type="dxa" w:w="90"/>
            </w:tcMar>
            <w:vAlign w:val="top"/>
          </w:tcPr>
          <w:p>
            <w:r>
              <w:rPr>
                <w:b/>
                <w:bCs/>
                <w:color w:val="FFFFFF"/>
                <w:sz w:val="19"/>
                <w:szCs w:val="19"/>
              </w:rPr>
              <w:t xml:space="preserve">Created By</w:t>
            </w:r>
          </w:p>
        </w:tc>
        <w:tc>
          <w:tcPr>
            <w:tcW w:type="dxa" w:w="4660"/>
            <w:shd w:fill="2E74B5" w:val="clear"/>
            <w:tcMar>
              <w:top w:type="dxa" w:w="70"/>
              <w:left w:type="dxa" w:w="90"/>
              <w:bottom w:type="dxa" w:w="70"/>
              <w:right w:type="dxa" w:w="90"/>
            </w:tcMar>
            <w:vAlign w:val="top"/>
          </w:tcPr>
          <w:p>
            <w:r>
              <w:rPr>
                <w:b/>
                <w:bCs/>
                <w:color w:val="FFFFFF"/>
                <w:sz w:val="19"/>
                <w:szCs w:val="19"/>
              </w:rPr>
              <w:t xml:space="preserve">Primary Activity</w:t>
            </w:r>
          </w:p>
        </w:tc>
      </w:tr>
      <w:tr>
        <w:tc>
          <w:tcPr>
            <w:tcW w:type="dxa" w:w="2500"/>
            <w:tcMar>
              <w:top w:type="dxa" w:w="70"/>
              <w:left w:type="dxa" w:w="90"/>
              <w:bottom w:type="dxa" w:w="70"/>
              <w:right w:type="dxa" w:w="90"/>
            </w:tcMar>
            <w:vAlign w:val="top"/>
          </w:tcPr>
          <w:p>
            <w:r>
              <w:rPr>
                <w:b w:val="false"/>
                <w:bCs w:val="false"/>
                <w:color w:val="000000"/>
                <w:sz w:val="19"/>
                <w:szCs w:val="19"/>
              </w:rPr>
              <w:t xml:space="preserve">Divisional Officer (Commissioner-level)</w:t>
            </w:r>
          </w:p>
        </w:tc>
        <w:tc>
          <w:tcPr>
            <w:tcW w:type="dxa" w:w="2200"/>
            <w:tcMar>
              <w:top w:type="dxa" w:w="70"/>
              <w:left w:type="dxa" w:w="90"/>
              <w:bottom w:type="dxa" w:w="70"/>
              <w:right w:type="dxa" w:w="90"/>
            </w:tcMar>
            <w:vAlign w:val="top"/>
          </w:tcPr>
          <w:p>
            <w:r>
              <w:rPr>
                <w:b w:val="false"/>
                <w:bCs w:val="false"/>
                <w:color w:val="000000"/>
                <w:sz w:val="19"/>
                <w:szCs w:val="19"/>
              </w:rPr>
              <w:t xml:space="preserve">Pre-provisioned</w:t>
            </w:r>
          </w:p>
        </w:tc>
        <w:tc>
          <w:tcPr>
            <w:tcW w:type="dxa" w:w="4660"/>
            <w:tcMar>
              <w:top w:type="dxa" w:w="70"/>
              <w:left w:type="dxa" w:w="90"/>
              <w:bottom w:type="dxa" w:w="70"/>
              <w:right w:type="dxa" w:w="90"/>
            </w:tcMar>
            <w:vAlign w:val="top"/>
          </w:tcPr>
          <w:p>
            <w:r>
              <w:rPr>
                <w:b w:val="false"/>
                <w:bCs w:val="false"/>
                <w:color w:val="000000"/>
                <w:sz w:val="19"/>
                <w:szCs w:val="19"/>
              </w:rPr>
              <w:t xml:space="preserve">Phase 2 — division-wide visibility across every district &amp; department in Indore Division; creates division/district-scoped users; views division-wide Department General Report.</w:t>
            </w:r>
          </w:p>
        </w:tc>
      </w:tr>
      <w:tr>
        <w:tc>
          <w:tcPr>
            <w:tcW w:type="dxa" w:w="2500"/>
            <w:tcMar>
              <w:top w:type="dxa" w:w="70"/>
              <w:left w:type="dxa" w:w="90"/>
              <w:bottom w:type="dxa" w:w="70"/>
              <w:right w:type="dxa" w:w="90"/>
            </w:tcMar>
            <w:vAlign w:val="top"/>
          </w:tcPr>
          <w:p>
            <w:r>
              <w:rPr>
                <w:b w:val="false"/>
                <w:bCs w:val="false"/>
                <w:color w:val="000000"/>
                <w:sz w:val="19"/>
                <w:szCs w:val="19"/>
              </w:rPr>
              <w:t xml:space="preserve">State Admin (Collectorate Admin)</w:t>
            </w:r>
          </w:p>
        </w:tc>
        <w:tc>
          <w:tcPr>
            <w:tcW w:type="dxa" w:w="2200"/>
            <w:tcMar>
              <w:top w:type="dxa" w:w="70"/>
              <w:left w:type="dxa" w:w="90"/>
              <w:bottom w:type="dxa" w:w="70"/>
              <w:right w:type="dxa" w:w="90"/>
            </w:tcMar>
            <w:vAlign w:val="top"/>
          </w:tcPr>
          <w:p>
            <w:r>
              <w:rPr>
                <w:b w:val="false"/>
                <w:bCs w:val="false"/>
                <w:color w:val="000000"/>
                <w:sz w:val="19"/>
                <w:szCs w:val="19"/>
              </w:rPr>
              <w:t xml:space="preserve">Pre-provisioned</w:t>
            </w:r>
          </w:p>
        </w:tc>
        <w:tc>
          <w:tcPr>
            <w:tcW w:type="dxa" w:w="4660"/>
            <w:tcMar>
              <w:top w:type="dxa" w:w="70"/>
              <w:left w:type="dxa" w:w="90"/>
              <w:bottom w:type="dxa" w:w="70"/>
              <w:right w:type="dxa" w:w="90"/>
            </w:tcMar>
            <w:vAlign w:val="top"/>
          </w:tcPr>
          <w:p>
            <w:r>
              <w:rPr>
                <w:b w:val="false"/>
                <w:bCs w:val="false"/>
                <w:color w:val="000000"/>
                <w:sz w:val="19"/>
                <w:szCs w:val="19"/>
              </w:rPr>
              <w:t xml:space="preserve">Phase 1 — creates Nodal Officers and Reporting Officers (Dept. HODs); views registered-user counts and inspection stats district-wide.</w:t>
            </w:r>
          </w:p>
        </w:tc>
      </w:tr>
      <w:tr>
        <w:tc>
          <w:tcPr>
            <w:tcW w:type="dxa" w:w="2500"/>
            <w:tcMar>
              <w:top w:type="dxa" w:w="70"/>
              <w:left w:type="dxa" w:w="90"/>
              <w:bottom w:type="dxa" w:w="70"/>
              <w:right w:type="dxa" w:w="90"/>
            </w:tcMar>
            <w:vAlign w:val="top"/>
          </w:tcPr>
          <w:p>
            <w:r>
              <w:rPr>
                <w:b w:val="false"/>
                <w:bCs w:val="false"/>
                <w:color w:val="000000"/>
                <w:sz w:val="19"/>
                <w:szCs w:val="19"/>
              </w:rPr>
              <w:t xml:space="preserve">Nodal Officer</w:t>
            </w:r>
          </w:p>
        </w:tc>
        <w:tc>
          <w:tcPr>
            <w:tcW w:type="dxa" w:w="2200"/>
            <w:tcMar>
              <w:top w:type="dxa" w:w="70"/>
              <w:left w:type="dxa" w:w="90"/>
              <w:bottom w:type="dxa" w:w="70"/>
              <w:right w:type="dxa" w:w="90"/>
            </w:tcMar>
            <w:vAlign w:val="top"/>
          </w:tcPr>
          <w:p>
            <w:r>
              <w:rPr>
                <w:b w:val="false"/>
                <w:bCs w:val="false"/>
                <w:color w:val="000000"/>
                <w:sz w:val="19"/>
                <w:szCs w:val="19"/>
              </w:rPr>
              <w:t xml:space="preserve">State Admin</w:t>
            </w:r>
          </w:p>
        </w:tc>
        <w:tc>
          <w:tcPr>
            <w:tcW w:type="dxa" w:w="4660"/>
            <w:tcMar>
              <w:top w:type="dxa" w:w="70"/>
              <w:left w:type="dxa" w:w="90"/>
              <w:bottom w:type="dxa" w:w="70"/>
              <w:right w:type="dxa" w:w="90"/>
            </w:tcMar>
            <w:vAlign w:val="top"/>
          </w:tcPr>
          <w:p>
            <w:r>
              <w:rPr>
                <w:b w:val="false"/>
                <w:bCs w:val="false"/>
                <w:color w:val="000000"/>
                <w:sz w:val="19"/>
                <w:szCs w:val="19"/>
              </w:rPr>
              <w:t xml:space="preserve">Collector's monitoring representative — read-only General Form Report across all departments, for district-level oversight.</w:t>
            </w:r>
          </w:p>
        </w:tc>
      </w:tr>
      <w:tr>
        <w:tc>
          <w:tcPr>
            <w:tcW w:type="dxa" w:w="2500"/>
            <w:tcMar>
              <w:top w:type="dxa" w:w="70"/>
              <w:left w:type="dxa" w:w="90"/>
              <w:bottom w:type="dxa" w:w="70"/>
              <w:right w:type="dxa" w:w="90"/>
            </w:tcMar>
            <w:vAlign w:val="top"/>
          </w:tcPr>
          <w:p>
            <w:r>
              <w:rPr>
                <w:b w:val="false"/>
                <w:bCs w:val="false"/>
                <w:color w:val="000000"/>
                <w:sz w:val="19"/>
                <w:szCs w:val="19"/>
              </w:rPr>
              <w:t xml:space="preserve">Reporting Officer (RO) / Dept. HOD</w:t>
            </w:r>
          </w:p>
        </w:tc>
        <w:tc>
          <w:tcPr>
            <w:tcW w:type="dxa" w:w="2200"/>
            <w:tcMar>
              <w:top w:type="dxa" w:w="70"/>
              <w:left w:type="dxa" w:w="90"/>
              <w:bottom w:type="dxa" w:w="70"/>
              <w:right w:type="dxa" w:w="90"/>
            </w:tcMar>
            <w:vAlign w:val="top"/>
          </w:tcPr>
          <w:p>
            <w:r>
              <w:rPr>
                <w:b w:val="false"/>
                <w:bCs w:val="false"/>
                <w:color w:val="000000"/>
                <w:sz w:val="19"/>
                <w:szCs w:val="19"/>
              </w:rPr>
              <w:t xml:space="preserve">State Admin or Divisional Officer</w:t>
            </w:r>
          </w:p>
        </w:tc>
        <w:tc>
          <w:tcPr>
            <w:tcW w:type="dxa" w:w="4660"/>
            <w:tcMar>
              <w:top w:type="dxa" w:w="70"/>
              <w:left w:type="dxa" w:w="90"/>
              <w:bottom w:type="dxa" w:w="70"/>
              <w:right w:type="dxa" w:w="90"/>
            </w:tcMar>
            <w:vAlign w:val="top"/>
          </w:tcPr>
          <w:p>
            <w:r>
              <w:rPr>
                <w:b w:val="false"/>
                <w:bCs w:val="false"/>
                <w:color w:val="000000"/>
                <w:sz w:val="19"/>
                <w:szCs w:val="19"/>
              </w:rPr>
              <w:t xml:space="preserve">Owns one Department &amp; Sub-Department (or, at division scope, one or more districts); creates Inspectors; Verifies/Rejects submitted inspections with remarks.</w:t>
            </w:r>
          </w:p>
        </w:tc>
      </w:tr>
      <w:tr>
        <w:tc>
          <w:tcPr>
            <w:tcW w:type="dxa" w:w="2500"/>
            <w:tcMar>
              <w:top w:type="dxa" w:w="70"/>
              <w:left w:type="dxa" w:w="90"/>
              <w:bottom w:type="dxa" w:w="70"/>
              <w:right w:type="dxa" w:w="90"/>
            </w:tcMar>
            <w:vAlign w:val="top"/>
          </w:tcPr>
          <w:p>
            <w:r>
              <w:rPr>
                <w:b w:val="false"/>
                <w:bCs w:val="false"/>
                <w:color w:val="000000"/>
                <w:sz w:val="19"/>
                <w:szCs w:val="19"/>
              </w:rPr>
              <w:t xml:space="preserve">Inspector / Surveyor</w:t>
            </w:r>
          </w:p>
        </w:tc>
        <w:tc>
          <w:tcPr>
            <w:tcW w:type="dxa" w:w="2200"/>
            <w:tcMar>
              <w:top w:type="dxa" w:w="70"/>
              <w:left w:type="dxa" w:w="90"/>
              <w:bottom w:type="dxa" w:w="70"/>
              <w:right w:type="dxa" w:w="90"/>
            </w:tcMar>
            <w:vAlign w:val="top"/>
          </w:tcPr>
          <w:p>
            <w:r>
              <w:rPr>
                <w:b w:val="false"/>
                <w:bCs w:val="false"/>
                <w:color w:val="000000"/>
                <w:sz w:val="19"/>
                <w:szCs w:val="19"/>
              </w:rPr>
              <w:t xml:space="preserve">Reporting Officer</w:t>
            </w:r>
          </w:p>
        </w:tc>
        <w:tc>
          <w:tcPr>
            <w:tcW w:type="dxa" w:w="4660"/>
            <w:tcMar>
              <w:top w:type="dxa" w:w="70"/>
              <w:left w:type="dxa" w:w="90"/>
              <w:bottom w:type="dxa" w:w="70"/>
              <w:right w:type="dxa" w:w="90"/>
            </w:tcMar>
            <w:vAlign w:val="top"/>
          </w:tcPr>
          <w:p>
            <w:r>
              <w:rPr>
                <w:b w:val="false"/>
                <w:bCs w:val="false"/>
                <w:color w:val="000000"/>
                <w:sz w:val="19"/>
                <w:szCs w:val="19"/>
              </w:rPr>
              <w:t xml:space="preserve">Conducts field inspection and submits the department checklist.</w:t>
            </w:r>
          </w:p>
        </w:tc>
      </w:tr>
    </w:tbl>
    <w:p>
      <w:pPr>
        <w:pStyle w:val="Heading2"/>
        <w:spacing w:after="100" w:before="220"/>
      </w:pPr>
      <w:r>
        <w:t xml:space="preserve">4.4 MP Cooperative Nirikshan — Simplified 2-Tier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74B5" w:val="clear"/>
            <w:tcMar>
              <w:top w:type="dxa" w:w="70"/>
              <w:left w:type="dxa" w:w="90"/>
              <w:bottom w:type="dxa" w:w="70"/>
              <w:right w:type="dxa" w:w="90"/>
            </w:tcMar>
            <w:vAlign w:val="top"/>
          </w:tcPr>
          <w:p>
            <w:r>
              <w:rPr>
                <w:b/>
                <w:bCs/>
                <w:color w:val="FFFFFF"/>
                <w:sz w:val="19"/>
                <w:szCs w:val="19"/>
              </w:rPr>
              <w:t xml:space="preserve">Role</w:t>
            </w:r>
          </w:p>
        </w:tc>
        <w:tc>
          <w:tcPr>
            <w:tcW w:type="dxa" w:w="6760"/>
            <w:shd w:fill="2E74B5" w:val="clear"/>
            <w:tcMar>
              <w:top w:type="dxa" w:w="70"/>
              <w:left w:type="dxa" w:w="90"/>
              <w:bottom w:type="dxa" w:w="70"/>
              <w:right w:type="dxa" w:w="90"/>
            </w:tcMar>
            <w:vAlign w:val="top"/>
          </w:tcPr>
          <w:p>
            <w:r>
              <w:rPr>
                <w:b/>
                <w:bCs/>
                <w:color w:val="FFFFFF"/>
                <w:sz w:val="19"/>
                <w:szCs w:val="19"/>
              </w:rPr>
              <w:t xml:space="preserve">Responsibility</w:t>
            </w:r>
          </w:p>
        </w:tc>
      </w:tr>
      <w:tr>
        <w:tc>
          <w:tcPr>
            <w:tcW w:type="dxa" w:w="2600"/>
            <w:tcMar>
              <w:top w:type="dxa" w:w="70"/>
              <w:left w:type="dxa" w:w="90"/>
              <w:bottom w:type="dxa" w:w="70"/>
              <w:right w:type="dxa" w:w="90"/>
            </w:tcMar>
            <w:vAlign w:val="top"/>
          </w:tcPr>
          <w:p>
            <w:r>
              <w:rPr>
                <w:b w:val="false"/>
                <w:bCs w:val="false"/>
                <w:color w:val="000000"/>
                <w:sz w:val="19"/>
                <w:szCs w:val="19"/>
              </w:rPr>
              <w:t xml:space="preserve">Commissioner (Level 1)</w:t>
            </w:r>
          </w:p>
        </w:tc>
        <w:tc>
          <w:tcPr>
            <w:tcW w:type="dxa" w:w="6760"/>
            <w:tcMar>
              <w:top w:type="dxa" w:w="70"/>
              <w:left w:type="dxa" w:w="90"/>
              <w:bottom w:type="dxa" w:w="70"/>
              <w:right w:type="dxa" w:w="90"/>
            </w:tcMar>
            <w:vAlign w:val="top"/>
          </w:tcPr>
          <w:p>
            <w:r>
              <w:rPr>
                <w:b w:val="false"/>
                <w:bCs w:val="false"/>
                <w:color w:val="000000"/>
                <w:sz w:val="19"/>
                <w:szCs w:val="19"/>
              </w:rPr>
              <w:t xml:space="preserve">Creates the Rooster/Inspection Order, assigns cooperative offices to Nirikshankarta Officers, and monitors status through the Rooster List and compliance dashboard.</w:t>
            </w:r>
          </w:p>
        </w:tc>
      </w:tr>
      <w:tr>
        <w:tc>
          <w:tcPr>
            <w:tcW w:type="dxa" w:w="2600"/>
            <w:tcMar>
              <w:top w:type="dxa" w:w="70"/>
              <w:left w:type="dxa" w:w="90"/>
              <w:bottom w:type="dxa" w:w="70"/>
              <w:right w:type="dxa" w:w="90"/>
            </w:tcMar>
            <w:vAlign w:val="top"/>
          </w:tcPr>
          <w:p>
            <w:r>
              <w:rPr>
                <w:b w:val="false"/>
                <w:bCs w:val="false"/>
                <w:color w:val="000000"/>
                <w:sz w:val="19"/>
                <w:szCs w:val="19"/>
              </w:rPr>
              <w:t xml:space="preserve">Nirikshankarta Officer (Level 2)</w:t>
            </w:r>
          </w:p>
        </w:tc>
        <w:tc>
          <w:tcPr>
            <w:tcW w:type="dxa" w:w="6760"/>
            <w:tcMar>
              <w:top w:type="dxa" w:w="70"/>
              <w:left w:type="dxa" w:w="90"/>
              <w:bottom w:type="dxa" w:w="70"/>
              <w:right w:type="dxa" w:w="90"/>
            </w:tcMar>
            <w:vAlign w:val="top"/>
          </w:tcPr>
          <w:p>
            <w:r>
              <w:rPr>
                <w:b w:val="false"/>
                <w:bCs w:val="false"/>
                <w:color w:val="000000"/>
                <w:sz w:val="19"/>
                <w:szCs w:val="19"/>
              </w:rPr>
              <w:t xml:space="preserve">Executes the assigned inspection, completes the 13-section (A–M) Nirikshan Prativedan digital form, and submits it — status flows back up to the Commissioner's dashboard.</w:t>
            </w:r>
          </w:p>
        </w:tc>
      </w:tr>
    </w:tbl>
    <w:p>
      <w:pPr>
        <w:pStyle w:val="Heading2"/>
        <w:spacing w:after="100" w:before="220"/>
      </w:pPr>
      <w:r>
        <w:t xml:space="preserve">4.5 Other Notable Stakeholders</w:t>
      </w:r>
    </w:p>
    <w:p>
      <w:pPr>
        <w:pStyle w:val="ListParagraph"/>
        <w:numPr>
          <w:ilvl w:val="0"/>
          <w:numId w:val="1"/>
        </w:numPr>
        <w:spacing w:after="60"/>
      </w:pPr>
      <w:r>
        <w:rPr>
          <w:sz w:val="21"/>
          <w:szCs w:val="21"/>
        </w:rPr>
        <w:t xml:space="preserve">District Collector / District Magistrate — issues district-level circulars mandating PARAKH usage (e.g. Sagar CM Jan Vishwas Abhiyaan circular) and receives compliance escalations.</w:t>
      </w:r>
    </w:p>
    <w:p>
      <w:pPr>
        <w:pStyle w:val="ListParagraph"/>
        <w:numPr>
          <w:ilvl w:val="0"/>
          <w:numId w:val="1"/>
        </w:numPr>
        <w:spacing w:after="60"/>
      </w:pPr>
      <w:r>
        <w:rPr>
          <w:sz w:val="21"/>
          <w:szCs w:val="21"/>
        </w:rPr>
        <w:t xml:space="preserve">MPSeDC MD's office — single point of contact for the formal form-onboarding request letter that starts every new department integration.</w:t>
      </w:r>
    </w:p>
    <w:p>
      <w:pPr>
        <w:pStyle w:val="ListParagraph"/>
        <w:numPr>
          <w:ilvl w:val="0"/>
          <w:numId w:val="1"/>
        </w:numPr>
        <w:spacing w:after="60"/>
      </w:pPr>
      <w:r>
        <w:rPr>
          <w:sz w:val="21"/>
          <w:szCs w:val="21"/>
        </w:rPr>
        <w:t xml:space="preserve">MPSeDC GIS Executive &amp; District e-Governance Manager — first-line technical/login support contacts named in district circulars.</w:t>
      </w:r>
    </w:p>
    <w:p>
      <w:pPr>
        <w:pStyle w:val="ListParagraph"/>
        <w:numPr>
          <w:ilvl w:val="0"/>
          <w:numId w:val="1"/>
        </w:numPr>
        <w:spacing w:after="60"/>
      </w:pPr>
      <w:r>
        <w:rPr>
          <w:sz w:val="21"/>
          <w:szCs w:val="21"/>
        </w:rPr>
        <w:t xml:space="preserve">Divisional Commissioner — Indore Division's top monitoring role; receives copies of district-level compliance circulars for information.</w:t>
      </w:r>
    </w:p>
    <w:p>
      <w:r>
        <w:br w:type="page"/>
      </w:r>
    </w:p>
    <w:p>
      <w:pPr>
        <w:pStyle w:val="Heading1"/>
        <w:spacing w:after="140" w:before="320"/>
      </w:pPr>
      <w:r>
        <w:t xml:space="preserve">5. Platform Overview &amp; Real-World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74B5" w:val="clear"/>
            <w:tcMar>
              <w:top w:type="dxa" w:w="70"/>
              <w:left w:type="dxa" w:w="90"/>
              <w:bottom w:type="dxa" w:w="70"/>
              <w:right w:type="dxa" w:w="90"/>
            </w:tcMar>
            <w:vAlign w:val="top"/>
          </w:tcPr>
          <w:p>
            <w:r>
              <w:rPr>
                <w:b/>
                <w:bCs/>
                <w:color w:val="FFFFFF"/>
                <w:sz w:val="19"/>
                <w:szCs w:val="19"/>
              </w:rPr>
              <w:t xml:space="preserve">Deployment</w:t>
            </w:r>
          </w:p>
        </w:tc>
        <w:tc>
          <w:tcPr>
            <w:tcW w:type="dxa" w:w="6760"/>
            <w:shd w:fill="2E74B5" w:val="clear"/>
            <w:tcMar>
              <w:top w:type="dxa" w:w="70"/>
              <w:left w:type="dxa" w:w="90"/>
              <w:bottom w:type="dxa" w:w="70"/>
              <w:right w:type="dxa" w:w="90"/>
            </w:tcMar>
            <w:vAlign w:val="top"/>
          </w:tcPr>
          <w:p>
            <w:r>
              <w:rPr>
                <w:b/>
                <w:bCs/>
                <w:color w:val="FFFFFF"/>
                <w:sz w:val="19"/>
                <w:szCs w:val="19"/>
              </w:rPr>
              <w:t xml:space="preserve">Description</w:t>
            </w:r>
          </w:p>
        </w:tc>
      </w:tr>
      <w:tr>
        <w:tc>
          <w:tcPr>
            <w:tcW w:type="dxa" w:w="2600"/>
            <w:tcMar>
              <w:top w:type="dxa" w:w="70"/>
              <w:left w:type="dxa" w:w="90"/>
              <w:bottom w:type="dxa" w:w="70"/>
              <w:right w:type="dxa" w:w="90"/>
            </w:tcMar>
            <w:vAlign w:val="top"/>
          </w:tcPr>
          <w:p>
            <w:r>
              <w:rPr>
                <w:b w:val="false"/>
                <w:bCs w:val="false"/>
                <w:color w:val="000000"/>
                <w:sz w:val="19"/>
                <w:szCs w:val="19"/>
              </w:rPr>
              <w:t xml:space="preserve">MP Transport Department — Dispatch &amp; Sale App</w:t>
            </w:r>
          </w:p>
        </w:tc>
        <w:tc>
          <w:tcPr>
            <w:tcW w:type="dxa" w:w="6760"/>
            <w:tcMar>
              <w:top w:type="dxa" w:w="70"/>
              <w:left w:type="dxa" w:w="90"/>
              <w:bottom w:type="dxa" w:w="70"/>
              <w:right w:type="dxa" w:w="90"/>
            </w:tcMar>
            <w:vAlign w:val="top"/>
          </w:tcPr>
          <w:p>
            <w:r>
              <w:rPr>
                <w:b w:val="false"/>
                <w:bCs w:val="false"/>
                <w:color w:val="000000"/>
                <w:sz w:val="19"/>
                <w:szCs w:val="19"/>
              </w:rPr>
              <w:t xml:space="preserve">Built and launched in ~2 days. Two geo-tagged, geo-fenced dynamic forms: Dispatch Entry (vehicle dispatches from warehouse) and Sale Details.</w:t>
            </w:r>
          </w:p>
        </w:tc>
      </w:tr>
      <w:tr>
        <w:tc>
          <w:tcPr>
            <w:tcW w:type="dxa" w:w="2600"/>
            <w:tcMar>
              <w:top w:type="dxa" w:w="70"/>
              <w:left w:type="dxa" w:w="90"/>
              <w:bottom w:type="dxa" w:w="70"/>
              <w:right w:type="dxa" w:w="90"/>
            </w:tcMar>
            <w:vAlign w:val="top"/>
          </w:tcPr>
          <w:p>
            <w:r>
              <w:rPr>
                <w:b w:val="false"/>
                <w:bCs w:val="false"/>
                <w:color w:val="000000"/>
                <w:sz w:val="19"/>
                <w:szCs w:val="19"/>
              </w:rPr>
              <w:t xml:space="preserve">Alirajpur Collectorate — Hostel Inspection &amp; Rating</w:t>
            </w:r>
          </w:p>
        </w:tc>
        <w:tc>
          <w:tcPr>
            <w:tcW w:type="dxa" w:w="6760"/>
            <w:tcMar>
              <w:top w:type="dxa" w:w="70"/>
              <w:left w:type="dxa" w:w="90"/>
              <w:bottom w:type="dxa" w:w="70"/>
              <w:right w:type="dxa" w:w="90"/>
            </w:tcMar>
            <w:vAlign w:val="top"/>
          </w:tcPr>
          <w:p>
            <w:r>
              <w:rPr>
                <w:b w:val="false"/>
                <w:bCs w:val="false"/>
                <w:color w:val="000000"/>
                <w:sz w:val="19"/>
                <w:szCs w:val="19"/>
              </w:rPr>
              <w:t xml:space="preserve">Geo-tagged/geo-fenced inspection and rating of hostels across Alirajpur district.</w:t>
            </w:r>
          </w:p>
        </w:tc>
      </w:tr>
      <w:tr>
        <w:tc>
          <w:tcPr>
            <w:tcW w:type="dxa" w:w="2600"/>
            <w:tcMar>
              <w:top w:type="dxa" w:w="70"/>
              <w:left w:type="dxa" w:w="90"/>
              <w:bottom w:type="dxa" w:w="70"/>
              <w:right w:type="dxa" w:w="90"/>
            </w:tcMar>
            <w:vAlign w:val="top"/>
          </w:tcPr>
          <w:p>
            <w:r>
              <w:rPr>
                <w:b w:val="false"/>
                <w:bCs w:val="false"/>
                <w:color w:val="000000"/>
                <w:sz w:val="19"/>
                <w:szCs w:val="19"/>
              </w:rPr>
              <w:t xml:space="preserve">PHE Department — Borewell Management System</w:t>
            </w:r>
          </w:p>
        </w:tc>
        <w:tc>
          <w:tcPr>
            <w:tcW w:type="dxa" w:w="6760"/>
            <w:tcMar>
              <w:top w:type="dxa" w:w="70"/>
              <w:left w:type="dxa" w:w="90"/>
              <w:bottom w:type="dxa" w:w="70"/>
              <w:right w:type="dxa" w:w="90"/>
            </w:tcMar>
            <w:vAlign w:val="top"/>
          </w:tcPr>
          <w:p>
            <w:r>
              <w:rPr>
                <w:b w:val="false"/>
                <w:bCs w:val="false"/>
                <w:color w:val="000000"/>
                <w:sz w:val="19"/>
                <w:szCs w:val="19"/>
              </w:rPr>
              <w:t xml:space="preserve">New Borewell Request &amp; compliance tracking, built per Hon'ble Supreme Court instructions; agency fills compliance report and acknowledgement.</w:t>
            </w:r>
          </w:p>
        </w:tc>
      </w:tr>
      <w:tr>
        <w:tc>
          <w:tcPr>
            <w:tcW w:type="dxa" w:w="2600"/>
            <w:tcMar>
              <w:top w:type="dxa" w:w="70"/>
              <w:left w:type="dxa" w:w="90"/>
              <w:bottom w:type="dxa" w:w="70"/>
              <w:right w:type="dxa" w:w="90"/>
            </w:tcMar>
            <w:vAlign w:val="top"/>
          </w:tcPr>
          <w:p>
            <w:r>
              <w:rPr>
                <w:b w:val="false"/>
                <w:bCs w:val="false"/>
                <w:color w:val="000000"/>
                <w:sz w:val="19"/>
                <w:szCs w:val="19"/>
              </w:rPr>
              <w:t xml:space="preserve">Chhindwara Collectorate — Wash on Wheel</w:t>
            </w:r>
          </w:p>
        </w:tc>
        <w:tc>
          <w:tcPr>
            <w:tcW w:type="dxa" w:w="6760"/>
            <w:tcMar>
              <w:top w:type="dxa" w:w="70"/>
              <w:left w:type="dxa" w:w="90"/>
              <w:bottom w:type="dxa" w:w="70"/>
              <w:right w:type="dxa" w:w="90"/>
            </w:tcMar>
            <w:vAlign w:val="top"/>
          </w:tcPr>
          <w:p>
            <w:r>
              <w:rPr>
                <w:b w:val="false"/>
                <w:bCs w:val="false"/>
                <w:color w:val="000000"/>
                <w:sz w:val="19"/>
                <w:szCs w:val="19"/>
              </w:rPr>
              <w:t xml:space="preserve">Citizen/asset-in-charge (e.g. Anganwadi) initiated cleaning-service tracking with site allocation to a Vehicle-in-Charge by a Cluster Admin/Supervisor.</w:t>
            </w:r>
          </w:p>
        </w:tc>
      </w:tr>
      <w:tr>
        <w:tc>
          <w:tcPr>
            <w:tcW w:type="dxa" w:w="2600"/>
            <w:tcMar>
              <w:top w:type="dxa" w:w="70"/>
              <w:left w:type="dxa" w:w="90"/>
              <w:bottom w:type="dxa" w:w="70"/>
              <w:right w:type="dxa" w:w="90"/>
            </w:tcMar>
            <w:vAlign w:val="top"/>
          </w:tcPr>
          <w:p>
            <w:r>
              <w:rPr>
                <w:b w:val="false"/>
                <w:bCs w:val="false"/>
                <w:color w:val="000000"/>
                <w:sz w:val="19"/>
                <w:szCs w:val="19"/>
              </w:rPr>
              <w:t xml:space="preserve">Ujjain Commissioner — Auto Mela</w:t>
            </w:r>
          </w:p>
        </w:tc>
        <w:tc>
          <w:tcPr>
            <w:tcW w:type="dxa" w:w="6760"/>
            <w:tcMar>
              <w:top w:type="dxa" w:w="70"/>
              <w:left w:type="dxa" w:w="90"/>
              <w:bottom w:type="dxa" w:w="70"/>
              <w:right w:type="dxa" w:w="90"/>
            </w:tcMar>
            <w:vAlign w:val="top"/>
          </w:tcPr>
          <w:p>
            <w:r>
              <w:rPr>
                <w:b w:val="false"/>
                <w:bCs w:val="false"/>
                <w:color w:val="000000"/>
                <w:sz w:val="19"/>
                <w:szCs w:val="19"/>
              </w:rPr>
              <w:t xml:space="preserve">Vehicle Dispatch &amp; Sale tracking for the Ujjain Auto Mela event.</w:t>
            </w:r>
          </w:p>
        </w:tc>
      </w:tr>
      <w:tr>
        <w:tc>
          <w:tcPr>
            <w:tcW w:type="dxa" w:w="2600"/>
            <w:tcMar>
              <w:top w:type="dxa" w:w="70"/>
              <w:left w:type="dxa" w:w="90"/>
              <w:bottom w:type="dxa" w:w="70"/>
              <w:right w:type="dxa" w:w="90"/>
            </w:tcMar>
            <w:vAlign w:val="top"/>
          </w:tcPr>
          <w:p>
            <w:r>
              <w:rPr>
                <w:b w:val="false"/>
                <w:bCs w:val="false"/>
                <w:color w:val="000000"/>
                <w:sz w:val="19"/>
                <w:szCs w:val="19"/>
              </w:rPr>
              <w:t xml:space="preserve">Labour Department — Inspection Portal</w:t>
            </w:r>
          </w:p>
        </w:tc>
        <w:tc>
          <w:tcPr>
            <w:tcW w:type="dxa" w:w="6760"/>
            <w:tcMar>
              <w:top w:type="dxa" w:w="70"/>
              <w:left w:type="dxa" w:w="90"/>
              <w:bottom w:type="dxa" w:w="70"/>
              <w:right w:type="dxa" w:w="90"/>
            </w:tcMar>
            <w:vAlign w:val="top"/>
          </w:tcPr>
          <w:p>
            <w:r>
              <w:rPr>
                <w:b w:val="false"/>
                <w:bCs w:val="false"/>
                <w:color w:val="000000"/>
                <w:sz w:val="19"/>
                <w:szCs w:val="19"/>
              </w:rPr>
              <w:t xml:space="preserve">Web-based inspection portal with State Admin view of all inspection forms and site/asset assignment to Field Officers.</w:t>
            </w:r>
          </w:p>
        </w:tc>
      </w:tr>
    </w:tbl>
    <w:p>
      <w:pPr>
        <w:pStyle w:val="Heading1"/>
        <w:spacing w:after="140" w:before="320"/>
      </w:pPr>
      <w:r>
        <w:t xml:space="preserve">6. Functional Requirements — By Module</w:t>
      </w:r>
    </w:p>
    <w:p>
      <w:pPr>
        <w:pStyle w:val="Heading2"/>
        <w:spacing w:after="100" w:before="220"/>
      </w:pPr>
      <w:r>
        <w:t xml:space="preserve">6.1 User, Role &amp; Designation Management</w:t>
      </w:r>
    </w:p>
    <w:p>
      <w:pPr>
        <w:pStyle w:val="ListParagraph"/>
        <w:numPr>
          <w:ilvl w:val="0"/>
          <w:numId w:val="1"/>
        </w:numPr>
        <w:spacing w:after="60"/>
      </w:pPr>
      <w:r>
        <w:rPr>
          <w:sz w:val="21"/>
          <w:szCs w:val="21"/>
        </w:rPr>
        <w:t xml:space="preserve">Super Admin (MPSEDC) creates departments, State Admins, question banks, and designations.</w:t>
      </w:r>
    </w:p>
    <w:p>
      <w:pPr>
        <w:pStyle w:val="ListParagraph"/>
        <w:numPr>
          <w:ilvl w:val="0"/>
          <w:numId w:val="1"/>
        </w:numPr>
        <w:spacing w:after="60"/>
      </w:pPr>
      <w:r>
        <w:rPr>
          <w:sz w:val="21"/>
          <w:szCs w:val="21"/>
        </w:rPr>
        <w:t xml:space="preserve">Each role can create only the role directly beneath it in its hierarchy chain (Section 4.2–4.4).</w:t>
      </w:r>
    </w:p>
    <w:p>
      <w:pPr>
        <w:pStyle w:val="ListParagraph"/>
        <w:numPr>
          <w:ilvl w:val="0"/>
          <w:numId w:val="1"/>
        </w:numPr>
        <w:spacing w:after="60"/>
      </w:pPr>
      <w:r>
        <w:rPr>
          <w:sz w:val="21"/>
          <w:szCs w:val="21"/>
        </w:rPr>
        <w:t xml:space="preserve">'Create User' captures Name, Mobile Number, Email ID, and Role/Designation; new users require approval before activation (see Asset Survey module, Section 6.6).</w:t>
      </w:r>
    </w:p>
    <w:p>
      <w:pPr>
        <w:pStyle w:val="ListParagraph"/>
        <w:numPr>
          <w:ilvl w:val="0"/>
          <w:numId w:val="1"/>
        </w:numPr>
        <w:spacing w:after="60"/>
      </w:pPr>
      <w:r>
        <w:rPr>
          <w:sz w:val="21"/>
          <w:szCs w:val="21"/>
        </w:rPr>
        <w:t xml:space="preserve">'Create Designation' allows a State Admin (or equivalent) to define new post/designation names beyond the system defaults, or edit existing ones.</w:t>
      </w:r>
    </w:p>
    <w:p>
      <w:pPr>
        <w:pStyle w:val="ListParagraph"/>
        <w:numPr>
          <w:ilvl w:val="0"/>
          <w:numId w:val="1"/>
        </w:numPr>
        <w:spacing w:after="60"/>
      </w:pPr>
      <w:r>
        <w:rPr>
          <w:sz w:val="21"/>
          <w:szCs w:val="21"/>
        </w:rPr>
        <w:t xml:space="preserve">A User List / registered-user-count view is available to supervisory roles for verification before creating duplicate accounts.</w:t>
      </w:r>
    </w:p>
    <w:p>
      <w:pPr>
        <w:pStyle w:val="Heading2"/>
        <w:spacing w:after="100" w:before="220"/>
      </w:pPr>
      <w:r>
        <w:t xml:space="preserve">6.2 Dynamic Form Creation &amp; Management</w:t>
      </w:r>
    </w:p>
    <w:p>
      <w:pPr>
        <w:pStyle w:val="ListParagraph"/>
        <w:numPr>
          <w:ilvl w:val="0"/>
          <w:numId w:val="1"/>
        </w:numPr>
        <w:spacing w:after="60"/>
      </w:pPr>
      <w:r>
        <w:rPr>
          <w:sz w:val="21"/>
          <w:szCs w:val="21"/>
        </w:rPr>
        <w:t xml:space="preserve">Step 1 — Login as State Admin.</w:t>
      </w:r>
    </w:p>
    <w:p>
      <w:pPr>
        <w:pStyle w:val="ListParagraph"/>
        <w:numPr>
          <w:ilvl w:val="0"/>
          <w:numId w:val="1"/>
        </w:numPr>
        <w:spacing w:after="60"/>
      </w:pPr>
      <w:r>
        <w:rPr>
          <w:sz w:val="21"/>
          <w:szCs w:val="21"/>
        </w:rPr>
        <w:t xml:space="preserve">Step 2 — Access Form Creation from the Masters menu.</w:t>
      </w:r>
    </w:p>
    <w:p>
      <w:pPr>
        <w:pStyle w:val="ListParagraph"/>
        <w:numPr>
          <w:ilvl w:val="0"/>
          <w:numId w:val="1"/>
        </w:numPr>
        <w:spacing w:after="60"/>
      </w:pPr>
      <w:r>
        <w:rPr>
          <w:sz w:val="21"/>
          <w:szCs w:val="21"/>
        </w:rPr>
        <w:t xml:space="preserve">Step 3 — Choose Form Type (Data Collection / Department General / Inspection / Questionnaire / Survey).</w:t>
      </w:r>
    </w:p>
    <w:p>
      <w:pPr>
        <w:pStyle w:val="ListParagraph"/>
        <w:numPr>
          <w:ilvl w:val="0"/>
          <w:numId w:val="1"/>
        </w:numPr>
        <w:spacing w:after="60"/>
      </w:pPr>
      <w:r>
        <w:rPr>
          <w:sz w:val="21"/>
          <w:szCs w:val="21"/>
        </w:rPr>
        <w:t xml:space="preserve">Step 4 — Define Questions (field type, label, mandatory flag, options/dropdown values, conditional visibility).</w:t>
      </w:r>
    </w:p>
    <w:p>
      <w:pPr>
        <w:pStyle w:val="ListParagraph"/>
        <w:numPr>
          <w:ilvl w:val="0"/>
          <w:numId w:val="1"/>
        </w:numPr>
        <w:spacing w:after="60"/>
      </w:pPr>
      <w:r>
        <w:rPr>
          <w:sz w:val="21"/>
          <w:szCs w:val="21"/>
        </w:rPr>
        <w:t xml:space="preserve">Step 5 — Assign Form Visibility (which roles/departments can see and fill the form).</w:t>
      </w:r>
    </w:p>
    <w:p>
      <w:pPr>
        <w:pStyle w:val="ListParagraph"/>
        <w:numPr>
          <w:ilvl w:val="0"/>
          <w:numId w:val="1"/>
        </w:numPr>
        <w:spacing w:after="60"/>
      </w:pPr>
      <w:r>
        <w:rPr>
          <w:sz w:val="21"/>
          <w:szCs w:val="21"/>
        </w:rPr>
        <w:t xml:space="preserve">Step 6 — Configure User Creation &amp; Approval flow for the form's user base.</w:t>
      </w:r>
    </w:p>
    <w:p>
      <w:pPr>
        <w:pStyle w:val="ListParagraph"/>
        <w:numPr>
          <w:ilvl w:val="0"/>
          <w:numId w:val="1"/>
        </w:numPr>
        <w:spacing w:after="60"/>
      </w:pPr>
      <w:r>
        <w:rPr>
          <w:sz w:val="21"/>
          <w:szCs w:val="21"/>
        </w:rPr>
        <w:t xml:space="preserve">Step 7 — Asset Creation (where the form is asset-linked).</w:t>
      </w:r>
    </w:p>
    <w:p>
      <w:pPr>
        <w:pStyle w:val="ListParagraph"/>
        <w:numPr>
          <w:ilvl w:val="0"/>
          <w:numId w:val="1"/>
        </w:numPr>
        <w:spacing w:after="60"/>
      </w:pPr>
      <w:r>
        <w:rPr>
          <w:sz w:val="21"/>
          <w:szCs w:val="21"/>
        </w:rPr>
        <w:t xml:space="preserve">Step 8 — Assign Asset to Department User.</w:t>
      </w:r>
    </w:p>
    <w:p>
      <w:pPr>
        <w:pStyle w:val="ListParagraph"/>
        <w:numPr>
          <w:ilvl w:val="0"/>
          <w:numId w:val="1"/>
        </w:numPr>
        <w:spacing w:after="60"/>
      </w:pPr>
      <w:r>
        <w:rPr>
          <w:sz w:val="21"/>
          <w:szCs w:val="21"/>
        </w:rPr>
        <w:t xml:space="preserve">Step 9 — Form becomes fillable on the mobile interface.</w:t>
      </w:r>
    </w:p>
    <w:p>
      <w:pPr>
        <w:pStyle w:val="ListParagraph"/>
        <w:numPr>
          <w:ilvl w:val="0"/>
          <w:numId w:val="1"/>
        </w:numPr>
        <w:spacing w:after="60"/>
      </w:pPr>
      <w:r>
        <w:rPr>
          <w:sz w:val="21"/>
          <w:szCs w:val="21"/>
        </w:rPr>
        <w:t xml:space="preserve">Includes Validation &amp; Exception Handling rules and Compliance &amp; Audit Guidelines (CMMI Level 5 process discipline: version history, sign-off).</w:t>
      </w:r>
    </w:p>
    <w:p>
      <w:pPr>
        <w:pStyle w:val="Heading2"/>
        <w:spacing w:after="100" w:before="220"/>
      </w:pPr>
      <w:r>
        <w:t xml:space="preserve">6.3 Form Onboarding Lifecycle (New Department/Form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rPr>
          <w:tblHeader/>
        </w:trPr>
        <w:tc>
          <w:tcPr>
            <w:tcW w:type="dxa" w:w="900"/>
            <w:shd w:fill="2E74B5" w:val="clear"/>
            <w:tcMar>
              <w:top w:type="dxa" w:w="70"/>
              <w:left w:type="dxa" w:w="90"/>
              <w:bottom w:type="dxa" w:w="70"/>
              <w:right w:type="dxa" w:w="90"/>
            </w:tcMar>
            <w:vAlign w:val="top"/>
          </w:tcPr>
          <w:p>
            <w:r>
              <w:rPr>
                <w:b/>
                <w:bCs/>
                <w:color w:val="FFFFFF"/>
                <w:sz w:val="19"/>
                <w:szCs w:val="19"/>
              </w:rPr>
              <w:t xml:space="preserve">Phase</w:t>
            </w:r>
          </w:p>
        </w:tc>
        <w:tc>
          <w:tcPr>
            <w:tcW w:type="dxa" w:w="2600"/>
            <w:shd w:fill="2E74B5" w:val="clear"/>
            <w:tcMar>
              <w:top w:type="dxa" w:w="70"/>
              <w:left w:type="dxa" w:w="90"/>
              <w:bottom w:type="dxa" w:w="70"/>
              <w:right w:type="dxa" w:w="90"/>
            </w:tcMar>
            <w:vAlign w:val="top"/>
          </w:tcPr>
          <w:p>
            <w:r>
              <w:rPr>
                <w:b/>
                <w:bCs/>
                <w:color w:val="FFFFFF"/>
                <w:sz w:val="19"/>
                <w:szCs w:val="19"/>
              </w:rPr>
              <w:t xml:space="preserve">Description</w:t>
            </w:r>
          </w:p>
        </w:tc>
        <w:tc>
          <w:tcPr>
            <w:tcW w:type="dxa" w:w="2600"/>
            <w:shd w:fill="2E74B5" w:val="clear"/>
            <w:tcMar>
              <w:top w:type="dxa" w:w="70"/>
              <w:left w:type="dxa" w:w="90"/>
              <w:bottom w:type="dxa" w:w="70"/>
              <w:right w:type="dxa" w:w="90"/>
            </w:tcMar>
            <w:vAlign w:val="top"/>
          </w:tcPr>
          <w:p>
            <w:r>
              <w:rPr>
                <w:b/>
                <w:bCs/>
                <w:color w:val="FFFFFF"/>
                <w:sz w:val="19"/>
                <w:szCs w:val="19"/>
              </w:rPr>
              <w:t xml:space="preserve">Responsible</w:t>
            </w:r>
          </w:p>
        </w:tc>
        <w:tc>
          <w:tcPr>
            <w:tcW w:type="dxa" w:w="3260"/>
            <w:shd w:fill="2E74B5" w:val="clear"/>
            <w:tcMar>
              <w:top w:type="dxa" w:w="70"/>
              <w:left w:type="dxa" w:w="90"/>
              <w:bottom w:type="dxa" w:w="70"/>
              <w:right w:type="dxa" w:w="90"/>
            </w:tcMar>
            <w:vAlign w:val="top"/>
          </w:tcPr>
          <w:p>
            <w:r>
              <w:rPr>
                <w:b/>
                <w:bCs/>
                <w:color w:val="FFFFFF"/>
                <w:sz w:val="19"/>
                <w:szCs w:val="19"/>
              </w:rPr>
              <w:t xml:space="preserve">Outcome</w:t>
            </w:r>
          </w:p>
        </w:tc>
      </w:tr>
      <w:tr>
        <w:tc>
          <w:tcPr>
            <w:tcW w:type="dxa" w:w="900"/>
            <w:tcMar>
              <w:top w:type="dxa" w:w="70"/>
              <w:left w:type="dxa" w:w="90"/>
              <w:bottom w:type="dxa" w:w="70"/>
              <w:right w:type="dxa" w:w="90"/>
            </w:tcMar>
            <w:vAlign w:val="top"/>
          </w:tcPr>
          <w:p>
            <w:r>
              <w:rPr>
                <w:b w:val="false"/>
                <w:bCs w:val="false"/>
                <w:color w:val="000000"/>
                <w:sz w:val="19"/>
                <w:szCs w:val="19"/>
              </w:rPr>
              <w:t xml:space="preserve">1</w:t>
            </w:r>
          </w:p>
        </w:tc>
        <w:tc>
          <w:tcPr>
            <w:tcW w:type="dxa" w:w="2600"/>
            <w:tcMar>
              <w:top w:type="dxa" w:w="70"/>
              <w:left w:type="dxa" w:w="90"/>
              <w:bottom w:type="dxa" w:w="70"/>
              <w:right w:type="dxa" w:w="90"/>
            </w:tcMar>
            <w:vAlign w:val="top"/>
          </w:tcPr>
          <w:p>
            <w:r>
              <w:rPr>
                <w:b w:val="false"/>
                <w:bCs w:val="false"/>
                <w:color w:val="000000"/>
                <w:sz w:val="19"/>
                <w:szCs w:val="19"/>
              </w:rPr>
              <w:t xml:space="preserve">Requirement Submission — official letter + paper form format emailed to MPSeDC MD</w:t>
            </w:r>
          </w:p>
        </w:tc>
        <w:tc>
          <w:tcPr>
            <w:tcW w:type="dxa" w:w="2600"/>
            <w:tcMar>
              <w:top w:type="dxa" w:w="70"/>
              <w:left w:type="dxa" w:w="90"/>
              <w:bottom w:type="dxa" w:w="70"/>
              <w:right w:type="dxa" w:w="90"/>
            </w:tcMar>
            <w:vAlign w:val="top"/>
          </w:tcPr>
          <w:p>
            <w:r>
              <w:rPr>
                <w:b w:val="false"/>
                <w:bCs w:val="false"/>
                <w:color w:val="000000"/>
                <w:sz w:val="19"/>
                <w:szCs w:val="19"/>
              </w:rPr>
              <w:t xml:space="preserve">Department / Collectorate</w:t>
            </w:r>
          </w:p>
        </w:tc>
        <w:tc>
          <w:tcPr>
            <w:tcW w:type="dxa" w:w="3260"/>
            <w:tcMar>
              <w:top w:type="dxa" w:w="70"/>
              <w:left w:type="dxa" w:w="90"/>
              <w:bottom w:type="dxa" w:w="70"/>
              <w:right w:type="dxa" w:w="90"/>
            </w:tcMar>
            <w:vAlign w:val="top"/>
          </w:tcPr>
          <w:p>
            <w:r>
              <w:rPr>
                <w:b w:val="false"/>
                <w:bCs w:val="false"/>
                <w:color w:val="000000"/>
                <w:sz w:val="19"/>
                <w:szCs w:val="19"/>
              </w:rPr>
              <w:t xml:space="preserve">Requirement received</w:t>
            </w:r>
          </w:p>
        </w:tc>
      </w:tr>
      <w:tr>
        <w:tc>
          <w:tcPr>
            <w:tcW w:type="dxa" w:w="900"/>
            <w:tcMar>
              <w:top w:type="dxa" w:w="70"/>
              <w:left w:type="dxa" w:w="90"/>
              <w:bottom w:type="dxa" w:w="70"/>
              <w:right w:type="dxa" w:w="90"/>
            </w:tcMar>
            <w:vAlign w:val="top"/>
          </w:tcPr>
          <w:p>
            <w:r>
              <w:rPr>
                <w:b w:val="false"/>
                <w:bCs w:val="false"/>
                <w:color w:val="000000"/>
                <w:sz w:val="19"/>
                <w:szCs w:val="19"/>
              </w:rPr>
              <w:t xml:space="preserve">2</w:t>
            </w:r>
          </w:p>
        </w:tc>
        <w:tc>
          <w:tcPr>
            <w:tcW w:type="dxa" w:w="2600"/>
            <w:tcMar>
              <w:top w:type="dxa" w:w="70"/>
              <w:left w:type="dxa" w:w="90"/>
              <w:bottom w:type="dxa" w:w="70"/>
              <w:right w:type="dxa" w:w="90"/>
            </w:tcMar>
            <w:vAlign w:val="top"/>
          </w:tcPr>
          <w:p>
            <w:r>
              <w:rPr>
                <w:b w:val="false"/>
                <w:bCs w:val="false"/>
                <w:color w:val="000000"/>
                <w:sz w:val="19"/>
                <w:szCs w:val="19"/>
              </w:rPr>
              <w:t xml:space="preserve">Requirement Finalization — discussion &amp; sign-off on form type, fields, conditional logic, master data, reporting, user hierarchy</w:t>
            </w:r>
          </w:p>
        </w:tc>
        <w:tc>
          <w:tcPr>
            <w:tcW w:type="dxa" w:w="2600"/>
            <w:tcMar>
              <w:top w:type="dxa" w:w="70"/>
              <w:left w:type="dxa" w:w="90"/>
              <w:bottom w:type="dxa" w:w="70"/>
              <w:right w:type="dxa" w:w="90"/>
            </w:tcMar>
            <w:vAlign w:val="top"/>
          </w:tcPr>
          <w:p>
            <w:r>
              <w:rPr>
                <w:b w:val="false"/>
                <w:bCs w:val="false"/>
                <w:color w:val="000000"/>
                <w:sz w:val="19"/>
                <w:szCs w:val="19"/>
              </w:rPr>
              <w:t xml:space="preserve">MPSeDC + Department</w:t>
            </w:r>
          </w:p>
        </w:tc>
        <w:tc>
          <w:tcPr>
            <w:tcW w:type="dxa" w:w="3260"/>
            <w:tcMar>
              <w:top w:type="dxa" w:w="70"/>
              <w:left w:type="dxa" w:w="90"/>
              <w:bottom w:type="dxa" w:w="70"/>
              <w:right w:type="dxa" w:w="90"/>
            </w:tcMar>
            <w:vAlign w:val="top"/>
          </w:tcPr>
          <w:p>
            <w:r>
              <w:rPr>
                <w:b w:val="false"/>
                <w:bCs w:val="false"/>
                <w:color w:val="000000"/>
                <w:sz w:val="19"/>
                <w:szCs w:val="19"/>
              </w:rPr>
              <w:t xml:space="preserve">Requirement finalized</w:t>
            </w:r>
          </w:p>
        </w:tc>
      </w:tr>
      <w:tr>
        <w:tc>
          <w:tcPr>
            <w:tcW w:type="dxa" w:w="900"/>
            <w:tcMar>
              <w:top w:type="dxa" w:w="70"/>
              <w:left w:type="dxa" w:w="90"/>
              <w:bottom w:type="dxa" w:w="70"/>
              <w:right w:type="dxa" w:w="90"/>
            </w:tcMar>
            <w:vAlign w:val="top"/>
          </w:tcPr>
          <w:p>
            <w:r>
              <w:rPr>
                <w:b w:val="false"/>
                <w:bCs w:val="false"/>
                <w:color w:val="000000"/>
                <w:sz w:val="19"/>
                <w:szCs w:val="19"/>
              </w:rPr>
              <w:t xml:space="preserve">3</w:t>
            </w:r>
          </w:p>
        </w:tc>
        <w:tc>
          <w:tcPr>
            <w:tcW w:type="dxa" w:w="2600"/>
            <w:tcMar>
              <w:top w:type="dxa" w:w="70"/>
              <w:left w:type="dxa" w:w="90"/>
              <w:bottom w:type="dxa" w:w="70"/>
              <w:right w:type="dxa" w:w="90"/>
            </w:tcMar>
            <w:vAlign w:val="top"/>
          </w:tcPr>
          <w:p>
            <w:r>
              <w:rPr>
                <w:b w:val="false"/>
                <w:bCs w:val="false"/>
                <w:color w:val="000000"/>
                <w:sz w:val="19"/>
                <w:szCs w:val="19"/>
              </w:rPr>
              <w:t xml:space="preserve">Form Development &amp; Testing — dev team builds; QA validates fields/dropdowns</w:t>
            </w:r>
          </w:p>
        </w:tc>
        <w:tc>
          <w:tcPr>
            <w:tcW w:type="dxa" w:w="2600"/>
            <w:tcMar>
              <w:top w:type="dxa" w:w="70"/>
              <w:left w:type="dxa" w:w="90"/>
              <w:bottom w:type="dxa" w:w="70"/>
              <w:right w:type="dxa" w:w="90"/>
            </w:tcMar>
            <w:vAlign w:val="top"/>
          </w:tcPr>
          <w:p>
            <w:r>
              <w:rPr>
                <w:b w:val="false"/>
                <w:bCs w:val="false"/>
                <w:color w:val="000000"/>
                <w:sz w:val="19"/>
                <w:szCs w:val="19"/>
              </w:rPr>
              <w:t xml:space="preserve">MPSeDC Dev &amp; QA</w:t>
            </w:r>
          </w:p>
        </w:tc>
        <w:tc>
          <w:tcPr>
            <w:tcW w:type="dxa" w:w="3260"/>
            <w:tcMar>
              <w:top w:type="dxa" w:w="70"/>
              <w:left w:type="dxa" w:w="90"/>
              <w:bottom w:type="dxa" w:w="70"/>
              <w:right w:type="dxa" w:w="90"/>
            </w:tcMar>
            <w:vAlign w:val="top"/>
          </w:tcPr>
          <w:p>
            <w:r>
              <w:rPr>
                <w:b w:val="false"/>
                <w:bCs w:val="false"/>
                <w:color w:val="000000"/>
                <w:sz w:val="19"/>
                <w:szCs w:val="19"/>
              </w:rPr>
              <w:t xml:space="preserve">Form ready for UAT</w:t>
            </w:r>
          </w:p>
        </w:tc>
      </w:tr>
      <w:tr>
        <w:tc>
          <w:tcPr>
            <w:tcW w:type="dxa" w:w="900"/>
            <w:tcMar>
              <w:top w:type="dxa" w:w="70"/>
              <w:left w:type="dxa" w:w="90"/>
              <w:bottom w:type="dxa" w:w="70"/>
              <w:right w:type="dxa" w:w="90"/>
            </w:tcMar>
            <w:vAlign w:val="top"/>
          </w:tcPr>
          <w:p>
            <w:r>
              <w:rPr>
                <w:b w:val="false"/>
                <w:bCs w:val="false"/>
                <w:color w:val="000000"/>
                <w:sz w:val="19"/>
                <w:szCs w:val="19"/>
              </w:rPr>
              <w:t xml:space="preserve">4</w:t>
            </w:r>
          </w:p>
        </w:tc>
        <w:tc>
          <w:tcPr>
            <w:tcW w:type="dxa" w:w="2600"/>
            <w:tcMar>
              <w:top w:type="dxa" w:w="70"/>
              <w:left w:type="dxa" w:w="90"/>
              <w:bottom w:type="dxa" w:w="70"/>
              <w:right w:type="dxa" w:w="90"/>
            </w:tcMar>
            <w:vAlign w:val="top"/>
          </w:tcPr>
          <w:p>
            <w:r>
              <w:rPr>
                <w:b w:val="false"/>
                <w:bCs w:val="false"/>
                <w:color w:val="000000"/>
                <w:sz w:val="19"/>
                <w:szCs w:val="19"/>
              </w:rPr>
              <w:t xml:space="preserve">UAT — department reviews and confirms in UAT environment</w:t>
            </w:r>
          </w:p>
        </w:tc>
        <w:tc>
          <w:tcPr>
            <w:tcW w:type="dxa" w:w="2600"/>
            <w:tcMar>
              <w:top w:type="dxa" w:w="70"/>
              <w:left w:type="dxa" w:w="90"/>
              <w:bottom w:type="dxa" w:w="70"/>
              <w:right w:type="dxa" w:w="90"/>
            </w:tcMar>
            <w:vAlign w:val="top"/>
          </w:tcPr>
          <w:p>
            <w:r>
              <w:rPr>
                <w:b w:val="false"/>
                <w:bCs w:val="false"/>
                <w:color w:val="000000"/>
                <w:sz w:val="19"/>
                <w:szCs w:val="19"/>
              </w:rPr>
              <w:t xml:space="preserve">Department / Collectorate</w:t>
            </w:r>
          </w:p>
        </w:tc>
        <w:tc>
          <w:tcPr>
            <w:tcW w:type="dxa" w:w="3260"/>
            <w:tcMar>
              <w:top w:type="dxa" w:w="70"/>
              <w:left w:type="dxa" w:w="90"/>
              <w:bottom w:type="dxa" w:w="70"/>
              <w:right w:type="dxa" w:w="90"/>
            </w:tcMar>
            <w:vAlign w:val="top"/>
          </w:tcPr>
          <w:p>
            <w:r>
              <w:rPr>
                <w:b w:val="false"/>
                <w:bCs w:val="false"/>
                <w:color w:val="000000"/>
                <w:sz w:val="19"/>
                <w:szCs w:val="19"/>
              </w:rPr>
              <w:t xml:space="preserve">UAT confirmation email</w:t>
            </w:r>
          </w:p>
        </w:tc>
      </w:tr>
      <w:tr>
        <w:tc>
          <w:tcPr>
            <w:tcW w:type="dxa" w:w="900"/>
            <w:tcMar>
              <w:top w:type="dxa" w:w="70"/>
              <w:left w:type="dxa" w:w="90"/>
              <w:bottom w:type="dxa" w:w="70"/>
              <w:right w:type="dxa" w:w="90"/>
            </w:tcMar>
            <w:vAlign w:val="top"/>
          </w:tcPr>
          <w:p>
            <w:r>
              <w:rPr>
                <w:b w:val="false"/>
                <w:bCs w:val="false"/>
                <w:color w:val="000000"/>
                <w:sz w:val="19"/>
                <w:szCs w:val="19"/>
              </w:rPr>
              <w:t xml:space="preserve">5</w:t>
            </w:r>
          </w:p>
        </w:tc>
        <w:tc>
          <w:tcPr>
            <w:tcW w:type="dxa" w:w="2600"/>
            <w:tcMar>
              <w:top w:type="dxa" w:w="70"/>
              <w:left w:type="dxa" w:w="90"/>
              <w:bottom w:type="dxa" w:w="70"/>
              <w:right w:type="dxa" w:w="90"/>
            </w:tcMar>
            <w:vAlign w:val="top"/>
          </w:tcPr>
          <w:p>
            <w:r>
              <w:rPr>
                <w:b w:val="false"/>
                <w:bCs w:val="false"/>
                <w:color w:val="000000"/>
                <w:sz w:val="19"/>
                <w:szCs w:val="19"/>
              </w:rPr>
              <w:t xml:space="preserve">Production Go-Live</w:t>
            </w:r>
          </w:p>
        </w:tc>
        <w:tc>
          <w:tcPr>
            <w:tcW w:type="dxa" w:w="2600"/>
            <w:tcMar>
              <w:top w:type="dxa" w:w="70"/>
              <w:left w:type="dxa" w:w="90"/>
              <w:bottom w:type="dxa" w:w="70"/>
              <w:right w:type="dxa" w:w="90"/>
            </w:tcMar>
            <w:vAlign w:val="top"/>
          </w:tcPr>
          <w:p>
            <w:r>
              <w:rPr>
                <w:b w:val="false"/>
                <w:bCs w:val="false"/>
                <w:color w:val="000000"/>
                <w:sz w:val="19"/>
                <w:szCs w:val="19"/>
              </w:rPr>
              <w:t xml:space="preserve">MPSeDC + Department</w:t>
            </w:r>
          </w:p>
        </w:tc>
        <w:tc>
          <w:tcPr>
            <w:tcW w:type="dxa" w:w="3260"/>
            <w:tcMar>
              <w:top w:type="dxa" w:w="70"/>
              <w:left w:type="dxa" w:w="90"/>
              <w:bottom w:type="dxa" w:w="70"/>
              <w:right w:type="dxa" w:w="90"/>
            </w:tcMar>
            <w:vAlign w:val="top"/>
          </w:tcPr>
          <w:p>
            <w:r>
              <w:rPr>
                <w:b w:val="false"/>
                <w:bCs w:val="false"/>
                <w:color w:val="000000"/>
                <w:sz w:val="19"/>
                <w:szCs w:val="19"/>
              </w:rPr>
              <w:t xml:space="preserve">Form live on Parakh</w:t>
            </w:r>
          </w:p>
        </w:tc>
      </w:tr>
      <w:tr>
        <w:tc>
          <w:tcPr>
            <w:tcW w:type="dxa" w:w="900"/>
            <w:tcMar>
              <w:top w:type="dxa" w:w="70"/>
              <w:left w:type="dxa" w:w="90"/>
              <w:bottom w:type="dxa" w:w="70"/>
              <w:right w:type="dxa" w:w="90"/>
            </w:tcMar>
            <w:vAlign w:val="top"/>
          </w:tcPr>
          <w:p>
            <w:r>
              <w:rPr>
                <w:b w:val="false"/>
                <w:bCs w:val="false"/>
                <w:color w:val="000000"/>
                <w:sz w:val="19"/>
                <w:szCs w:val="19"/>
              </w:rPr>
              <w:t xml:space="preserve">6</w:t>
            </w:r>
          </w:p>
        </w:tc>
        <w:tc>
          <w:tcPr>
            <w:tcW w:type="dxa" w:w="2600"/>
            <w:tcMar>
              <w:top w:type="dxa" w:w="70"/>
              <w:left w:type="dxa" w:w="90"/>
              <w:bottom w:type="dxa" w:w="70"/>
              <w:right w:type="dxa" w:w="90"/>
            </w:tcMar>
            <w:vAlign w:val="top"/>
          </w:tcPr>
          <w:p>
            <w:r>
              <w:rPr>
                <w:b w:val="false"/>
                <w:bCs w:val="false"/>
                <w:color w:val="000000"/>
                <w:sz w:val="19"/>
                <w:szCs w:val="19"/>
              </w:rPr>
              <w:t xml:space="preserve">Report Generation — built to match form complexity (dropdowns, conditional Qs, master data)</w:t>
            </w:r>
          </w:p>
        </w:tc>
        <w:tc>
          <w:tcPr>
            <w:tcW w:type="dxa" w:w="2600"/>
            <w:tcMar>
              <w:top w:type="dxa" w:w="70"/>
              <w:left w:type="dxa" w:w="90"/>
              <w:bottom w:type="dxa" w:w="70"/>
              <w:right w:type="dxa" w:w="90"/>
            </w:tcMar>
            <w:vAlign w:val="top"/>
          </w:tcPr>
          <w:p>
            <w:r>
              <w:rPr>
                <w:b w:val="false"/>
                <w:bCs w:val="false"/>
                <w:color w:val="000000"/>
                <w:sz w:val="19"/>
                <w:szCs w:val="19"/>
              </w:rPr>
              <w:t xml:space="preserve">MPSeDC Dev Team</w:t>
            </w:r>
          </w:p>
        </w:tc>
        <w:tc>
          <w:tcPr>
            <w:tcW w:type="dxa" w:w="3260"/>
            <w:tcMar>
              <w:top w:type="dxa" w:w="70"/>
              <w:left w:type="dxa" w:w="90"/>
              <w:bottom w:type="dxa" w:w="70"/>
              <w:right w:type="dxa" w:w="90"/>
            </w:tcMar>
            <w:vAlign w:val="top"/>
          </w:tcPr>
          <w:p>
            <w:r>
              <w:rPr>
                <w:b w:val="false"/>
                <w:bCs w:val="false"/>
                <w:color w:val="000000"/>
                <w:sz w:val="19"/>
                <w:szCs w:val="19"/>
              </w:rPr>
              <w:t xml:space="preserve">Reports available</w:t>
            </w:r>
          </w:p>
        </w:tc>
      </w:tr>
      <w:tr>
        <w:tc>
          <w:tcPr>
            <w:tcW w:type="dxa" w:w="900"/>
            <w:tcMar>
              <w:top w:type="dxa" w:w="70"/>
              <w:left w:type="dxa" w:w="90"/>
              <w:bottom w:type="dxa" w:w="70"/>
              <w:right w:type="dxa" w:w="90"/>
            </w:tcMar>
            <w:vAlign w:val="top"/>
          </w:tcPr>
          <w:p>
            <w:r>
              <w:rPr>
                <w:b w:val="false"/>
                <w:bCs w:val="false"/>
                <w:color w:val="000000"/>
                <w:sz w:val="19"/>
                <w:szCs w:val="19"/>
              </w:rPr>
              <w:t xml:space="preserve">7</w:t>
            </w:r>
          </w:p>
        </w:tc>
        <w:tc>
          <w:tcPr>
            <w:tcW w:type="dxa" w:w="2600"/>
            <w:tcMar>
              <w:top w:type="dxa" w:w="70"/>
              <w:left w:type="dxa" w:w="90"/>
              <w:bottom w:type="dxa" w:w="70"/>
              <w:right w:type="dxa" w:w="90"/>
            </w:tcMar>
            <w:vAlign w:val="top"/>
          </w:tcPr>
          <w:p>
            <w:r>
              <w:rPr>
                <w:b w:val="false"/>
                <w:bCs w:val="false"/>
                <w:color w:val="000000"/>
                <w:sz w:val="19"/>
                <w:szCs w:val="19"/>
              </w:rPr>
              <w:t xml:space="preserve">Final Deployment — inspections/surveys/data collection begin</w:t>
            </w:r>
          </w:p>
        </w:tc>
        <w:tc>
          <w:tcPr>
            <w:tcW w:type="dxa" w:w="2600"/>
            <w:tcMar>
              <w:top w:type="dxa" w:w="70"/>
              <w:left w:type="dxa" w:w="90"/>
              <w:bottom w:type="dxa" w:w="70"/>
              <w:right w:type="dxa" w:w="90"/>
            </w:tcMar>
            <w:vAlign w:val="top"/>
          </w:tcPr>
          <w:p>
            <w:r>
              <w:rPr>
                <w:b w:val="false"/>
                <w:bCs w:val="false"/>
                <w:color w:val="000000"/>
                <w:sz w:val="19"/>
                <w:szCs w:val="19"/>
              </w:rPr>
              <w:t xml:space="preserve">All users</w:t>
            </w:r>
          </w:p>
        </w:tc>
        <w:tc>
          <w:tcPr>
            <w:tcW w:type="dxa" w:w="3260"/>
            <w:tcMar>
              <w:top w:type="dxa" w:w="70"/>
              <w:left w:type="dxa" w:w="90"/>
              <w:bottom w:type="dxa" w:w="70"/>
              <w:right w:type="dxa" w:w="90"/>
            </w:tcMar>
            <w:vAlign w:val="top"/>
          </w:tcPr>
          <w:p>
            <w:r>
              <w:rPr>
                <w:b w:val="false"/>
                <w:bCs w:val="false"/>
                <w:color w:val="000000"/>
                <w:sz w:val="19"/>
                <w:szCs w:val="19"/>
              </w:rPr>
              <w:t xml:space="preserve">Form operational</w:t>
            </w:r>
          </w:p>
        </w:tc>
      </w:tr>
    </w:tbl>
    <w:p>
      <w:pPr>
        <w:pStyle w:val="Heading2"/>
        <w:spacing w:after="100" w:before="220"/>
      </w:pPr>
      <w:r>
        <w:t xml:space="preserve">6.4 Field Inspection &amp; Survey (Mobile)</w:t>
      </w:r>
    </w:p>
    <w:p>
      <w:pPr>
        <w:pStyle w:val="ListParagraph"/>
        <w:numPr>
          <w:ilvl w:val="0"/>
          <w:numId w:val="1"/>
        </w:numPr>
        <w:spacing w:after="60"/>
      </w:pPr>
      <w:r>
        <w:rPr>
          <w:sz w:val="21"/>
          <w:szCs w:val="21"/>
        </w:rPr>
        <w:t xml:space="preserve">'Field Inspection &amp; Survey' home-screen option opens the relevant department form.</w:t>
      </w:r>
    </w:p>
    <w:p>
      <w:pPr>
        <w:pStyle w:val="ListParagraph"/>
        <w:numPr>
          <w:ilvl w:val="0"/>
          <w:numId w:val="1"/>
        </w:numPr>
        <w:spacing w:after="60"/>
      </w:pPr>
      <w:r>
        <w:rPr>
          <w:sz w:val="21"/>
          <w:szCs w:val="21"/>
        </w:rPr>
        <w:t xml:space="preserve">Site Inspection &amp; Survey Form — for planned inspections at pre-identified sites.</w:t>
      </w:r>
    </w:p>
    <w:p>
      <w:pPr>
        <w:pStyle w:val="ListParagraph"/>
        <w:numPr>
          <w:ilvl w:val="0"/>
          <w:numId w:val="1"/>
        </w:numPr>
        <w:spacing w:after="60"/>
      </w:pPr>
      <w:r>
        <w:rPr>
          <w:sz w:val="21"/>
          <w:szCs w:val="21"/>
        </w:rPr>
        <w:t xml:space="preserve">Sudden Inspection Form — for unannounced/ad-hoc inspections (Section 6.5).</w:t>
      </w:r>
    </w:p>
    <w:p>
      <w:pPr>
        <w:pStyle w:val="ListParagraph"/>
        <w:numPr>
          <w:ilvl w:val="0"/>
          <w:numId w:val="1"/>
        </w:numPr>
        <w:spacing w:after="60"/>
      </w:pPr>
      <w:r>
        <w:rPr>
          <w:sz w:val="21"/>
          <w:szCs w:val="21"/>
        </w:rPr>
        <w:t xml:space="preserve">Asset Survey Form — for surveying government/departmental properties.</w:t>
      </w:r>
    </w:p>
    <w:p>
      <w:pPr>
        <w:pStyle w:val="ListParagraph"/>
        <w:numPr>
          <w:ilvl w:val="0"/>
          <w:numId w:val="1"/>
        </w:numPr>
        <w:spacing w:after="60"/>
      </w:pPr>
      <w:r>
        <w:rPr>
          <w:sz w:val="21"/>
          <w:szCs w:val="21"/>
        </w:rPr>
        <w:t xml:space="preserve">Selecting a form opens a map screen; a filter icon lets the user narrow by Inspection Area (e.g. park, aanganwadi, health care); matching locations render as red pin markers.</w:t>
      </w:r>
    </w:p>
    <w:p>
      <w:pPr>
        <w:pStyle w:val="ListParagraph"/>
        <w:numPr>
          <w:ilvl w:val="0"/>
          <w:numId w:val="1"/>
        </w:numPr>
        <w:spacing w:after="60"/>
      </w:pPr>
      <w:r>
        <w:rPr>
          <w:sz w:val="21"/>
          <w:szCs w:val="21"/>
        </w:rPr>
        <w:t xml:space="preserve">Tapping a pin opens that location's survey form; if network connectivity is poor, the form can be Saved as Draft and completed later.</w:t>
      </w:r>
    </w:p>
    <w:p>
      <w:pPr>
        <w:pStyle w:val="ListParagraph"/>
        <w:numPr>
          <w:ilvl w:val="0"/>
          <w:numId w:val="1"/>
        </w:numPr>
        <w:spacing w:after="60"/>
      </w:pPr>
      <w:r>
        <w:rPr>
          <w:sz w:val="21"/>
          <w:szCs w:val="21"/>
        </w:rPr>
        <w:t xml:space="preserve">'Visited Sites' shows all fully-completed submissions for reference.</w:t>
      </w:r>
    </w:p>
    <w:p>
      <w:pPr>
        <w:pStyle w:val="Heading2"/>
        <w:spacing w:after="100" w:before="220"/>
      </w:pPr>
      <w:r>
        <w:t xml:space="preserve">6.5 Sudden Inspection Module</w:t>
      </w:r>
    </w:p>
    <w:p>
      <w:pPr>
        <w:pStyle w:val="ListParagraph"/>
        <w:numPr>
          <w:ilvl w:val="0"/>
          <w:numId w:val="1"/>
        </w:numPr>
        <w:spacing w:after="60"/>
      </w:pPr>
      <w:r>
        <w:rPr>
          <w:sz w:val="21"/>
          <w:szCs w:val="21"/>
        </w:rPr>
        <w:t xml:space="preserve">Mobile app flow: login as Department user → grant location permission → 'Navigate to Point of Interest' on map &amp; route → conduct Sudden Inspection Survey at the located site.</w:t>
      </w:r>
    </w:p>
    <w:p>
      <w:pPr>
        <w:pStyle w:val="ListParagraph"/>
        <w:numPr>
          <w:ilvl w:val="0"/>
          <w:numId w:val="1"/>
        </w:numPr>
        <w:spacing w:after="60"/>
      </w:pPr>
      <w:r>
        <w:rPr>
          <w:sz w:val="21"/>
          <w:szCs w:val="21"/>
        </w:rPr>
        <w:t xml:space="preserve">A dedicated 'Sudden Inspection Report' is available under the Reports section, capturing inspector, date, institution type, inspection site, remarks, and photos.</w:t>
      </w:r>
    </w:p>
    <w:p>
      <w:pPr>
        <w:pStyle w:val="Heading2"/>
        <w:spacing w:after="100" w:before="220"/>
      </w:pPr>
      <w:r>
        <w:t xml:space="preserve">6.6 Asset Survey Module — End-to-End Lifecycle</w:t>
      </w:r>
    </w:p>
    <w:p>
      <w:pPr>
        <w:pStyle w:val="Heading3"/>
        <w:spacing w:after="80" w:before="160"/>
      </w:pPr>
      <w:r>
        <w:t xml:space="preserve">6.6.1 User Creation &amp; Approval</w:t>
      </w:r>
    </w:p>
    <w:p>
      <w:pPr>
        <w:pStyle w:val="ListParagraph"/>
        <w:numPr>
          <w:ilvl w:val="0"/>
          <w:numId w:val="1"/>
        </w:numPr>
        <w:spacing w:after="60"/>
      </w:pPr>
      <w:r>
        <w:rPr>
          <w:sz w:val="21"/>
          <w:szCs w:val="21"/>
        </w:rPr>
        <w:t xml:space="preserve">New users are created per the role hierarchy (Section 4.2) and require explicit approval by the creating role before they can operate.</w:t>
      </w:r>
    </w:p>
    <w:p>
      <w:pPr>
        <w:pStyle w:val="Heading3"/>
        <w:spacing w:after="80" w:before="160"/>
      </w:pPr>
      <w:r>
        <w:t xml:space="preserve">6.6.2 Asset Creation</w:t>
      </w:r>
    </w:p>
    <w:p>
      <w:pPr>
        <w:pStyle w:val="ListParagraph"/>
        <w:numPr>
          <w:ilvl w:val="0"/>
          <w:numId w:val="1"/>
        </w:numPr>
        <w:spacing w:after="60"/>
      </w:pPr>
      <w:r>
        <w:rPr>
          <w:sz w:val="21"/>
          <w:szCs w:val="21"/>
        </w:rPr>
        <w:t xml:space="preserve">Single Asset Creation — one record entered manually with asset attributes.</w:t>
      </w:r>
    </w:p>
    <w:p>
      <w:pPr>
        <w:pStyle w:val="ListParagraph"/>
        <w:numPr>
          <w:ilvl w:val="0"/>
          <w:numId w:val="1"/>
        </w:numPr>
        <w:spacing w:after="60"/>
      </w:pPr>
      <w:r>
        <w:rPr>
          <w:sz w:val="21"/>
          <w:szCs w:val="21"/>
        </w:rPr>
        <w:t xml:space="preserve">Bulk Asset Upload — a batch of assets uploaded at once (e.g. via spreadsheet import) for large inventories.</w:t>
      </w:r>
    </w:p>
    <w:p>
      <w:pPr>
        <w:pStyle w:val="Heading3"/>
        <w:spacing w:after="80" w:before="160"/>
      </w:pPr>
      <w:r>
        <w:t xml:space="preserve">6.6.3 Assign Asset to Department User</w:t>
      </w:r>
    </w:p>
    <w:p>
      <w:pPr>
        <w:pStyle w:val="ListParagraph"/>
        <w:numPr>
          <w:ilvl w:val="0"/>
          <w:numId w:val="1"/>
        </w:numPr>
        <w:spacing w:after="60"/>
      </w:pPr>
      <w:r>
        <w:rPr>
          <w:sz w:val="21"/>
          <w:szCs w:val="21"/>
        </w:rPr>
        <w:t xml:space="preserve">Assign for Inspection &amp; Survey (one-time) — select Department, District, Tehsil (optional), Form, and Department User; an 'Is Allotted' Yes/No filter shows already-assigned vs. unassigned assets.</w:t>
      </w:r>
    </w:p>
    <w:p>
      <w:pPr>
        <w:pStyle w:val="ListParagraph"/>
        <w:numPr>
          <w:ilvl w:val="0"/>
          <w:numId w:val="1"/>
        </w:numPr>
        <w:spacing w:after="60"/>
      </w:pPr>
      <w:r>
        <w:rPr>
          <w:sz w:val="21"/>
          <w:szCs w:val="21"/>
        </w:rPr>
        <w:t xml:space="preserve">Assign for Data Collection (recurring) — additionally set a Frequency (Monthly / Quarterly / Half-Yearly / Yearly) and a From Date–To Date range; 'View Proposed Allocation Dates' previews the resulting collection schedule.</w:t>
      </w:r>
    </w:p>
    <w:p>
      <w:pPr>
        <w:pStyle w:val="Heading3"/>
        <w:spacing w:after="80" w:before="160"/>
      </w:pPr>
      <w:r>
        <w:t xml:space="preserve">6.6.4 Conducting the Asset Survey</w:t>
      </w:r>
    </w:p>
    <w:p>
      <w:pPr>
        <w:pStyle w:val="ListParagraph"/>
        <w:numPr>
          <w:ilvl w:val="0"/>
          <w:numId w:val="1"/>
        </w:numPr>
        <w:spacing w:after="60"/>
      </w:pPr>
      <w:r>
        <w:rPr>
          <w:sz w:val="21"/>
          <w:szCs w:val="21"/>
        </w:rPr>
        <w:t xml:space="preserve">Field user opens the assigned asset on the mobile app and completes the survey form against it, following the same map/pin/draft-save mechanics as Section 6.4.</w:t>
      </w:r>
    </w:p>
    <w:p>
      <w:pPr>
        <w:pStyle w:val="Heading2"/>
        <w:spacing w:after="100" w:before="220"/>
      </w:pPr>
      <w:r>
        <w:t xml:space="preserve">6.7 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74B5" w:val="clear"/>
            <w:tcMar>
              <w:top w:type="dxa" w:w="70"/>
              <w:left w:type="dxa" w:w="90"/>
              <w:bottom w:type="dxa" w:w="70"/>
              <w:right w:type="dxa" w:w="90"/>
            </w:tcMar>
            <w:vAlign w:val="top"/>
          </w:tcPr>
          <w:p>
            <w:r>
              <w:rPr>
                <w:b/>
                <w:bCs/>
                <w:color w:val="FFFFFF"/>
                <w:sz w:val="19"/>
                <w:szCs w:val="19"/>
              </w:rPr>
              <w:t xml:space="preserve">Report</w:t>
            </w:r>
          </w:p>
        </w:tc>
        <w:tc>
          <w:tcPr>
            <w:tcW w:type="dxa" w:w="6160"/>
            <w:shd w:fill="2E74B5" w:val="clear"/>
            <w:tcMar>
              <w:top w:type="dxa" w:w="70"/>
              <w:left w:type="dxa" w:w="90"/>
              <w:bottom w:type="dxa" w:w="70"/>
              <w:right w:type="dxa" w:w="90"/>
            </w:tcMar>
            <w:vAlign w:val="top"/>
          </w:tcPr>
          <w:p>
            <w:r>
              <w:rPr>
                <w:b/>
                <w:bCs/>
                <w:color w:val="FFFFFF"/>
                <w:sz w:val="19"/>
                <w:szCs w:val="19"/>
              </w:rPr>
              <w:t xml:space="preserve">Purpose</w:t>
            </w:r>
          </w:p>
        </w:tc>
      </w:tr>
      <w:tr>
        <w:tc>
          <w:tcPr>
            <w:tcW w:type="dxa" w:w="3200"/>
            <w:tcMar>
              <w:top w:type="dxa" w:w="70"/>
              <w:left w:type="dxa" w:w="90"/>
              <w:bottom w:type="dxa" w:w="70"/>
              <w:right w:type="dxa" w:w="90"/>
            </w:tcMar>
            <w:vAlign w:val="top"/>
          </w:tcPr>
          <w:p>
            <w:r>
              <w:rPr>
                <w:b w:val="false"/>
                <w:bCs w:val="false"/>
                <w:color w:val="000000"/>
                <w:sz w:val="19"/>
                <w:szCs w:val="19"/>
              </w:rPr>
              <w:t xml:space="preserve">Completed Surveys &amp; Inspections</w:t>
            </w:r>
          </w:p>
        </w:tc>
        <w:tc>
          <w:tcPr>
            <w:tcW w:type="dxa" w:w="6160"/>
            <w:tcMar>
              <w:top w:type="dxa" w:w="70"/>
              <w:left w:type="dxa" w:w="90"/>
              <w:bottom w:type="dxa" w:w="70"/>
              <w:right w:type="dxa" w:w="90"/>
            </w:tcMar>
            <w:vAlign w:val="top"/>
          </w:tcPr>
          <w:p>
            <w:r>
              <w:rPr>
                <w:b w:val="false"/>
                <w:bCs w:val="false"/>
                <w:color w:val="000000"/>
                <w:sz w:val="19"/>
                <w:szCs w:val="19"/>
              </w:rPr>
              <w:t xml:space="preserve">All fully completed surveys/inspections, filterable by Department.</w:t>
            </w:r>
          </w:p>
        </w:tc>
      </w:tr>
      <w:tr>
        <w:tc>
          <w:tcPr>
            <w:tcW w:type="dxa" w:w="3200"/>
            <w:tcMar>
              <w:top w:type="dxa" w:w="70"/>
              <w:left w:type="dxa" w:w="90"/>
              <w:bottom w:type="dxa" w:w="70"/>
              <w:right w:type="dxa" w:w="90"/>
            </w:tcMar>
            <w:vAlign w:val="top"/>
          </w:tcPr>
          <w:p>
            <w:r>
              <w:rPr>
                <w:b w:val="false"/>
                <w:bCs w:val="false"/>
                <w:color w:val="000000"/>
                <w:sz w:val="19"/>
                <w:szCs w:val="19"/>
              </w:rPr>
              <w:t xml:space="preserve">Surveys &amp; Inspections Form</w:t>
            </w:r>
          </w:p>
        </w:tc>
        <w:tc>
          <w:tcPr>
            <w:tcW w:type="dxa" w:w="6160"/>
            <w:tcMar>
              <w:top w:type="dxa" w:w="70"/>
              <w:left w:type="dxa" w:w="90"/>
              <w:bottom w:type="dxa" w:w="70"/>
              <w:right w:type="dxa" w:w="90"/>
            </w:tcMar>
            <w:vAlign w:val="top"/>
          </w:tcPr>
          <w:p>
            <w:r>
              <w:rPr>
                <w:b w:val="false"/>
                <w:bCs w:val="false"/>
                <w:color w:val="000000"/>
                <w:sz w:val="19"/>
                <w:szCs w:val="19"/>
              </w:rPr>
              <w:t xml:space="preserve">Search surveys/inspections by department, district, reporting officer, and user.</w:t>
            </w:r>
          </w:p>
        </w:tc>
      </w:tr>
      <w:tr>
        <w:tc>
          <w:tcPr>
            <w:tcW w:type="dxa" w:w="3200"/>
            <w:tcMar>
              <w:top w:type="dxa" w:w="70"/>
              <w:left w:type="dxa" w:w="90"/>
              <w:bottom w:type="dxa" w:w="70"/>
              <w:right w:type="dxa" w:w="90"/>
            </w:tcMar>
            <w:vAlign w:val="top"/>
          </w:tcPr>
          <w:p>
            <w:r>
              <w:rPr>
                <w:b w:val="false"/>
                <w:bCs w:val="false"/>
                <w:color w:val="000000"/>
                <w:sz w:val="19"/>
                <w:szCs w:val="19"/>
              </w:rPr>
              <w:t xml:space="preserve">General Form Report</w:t>
            </w:r>
          </w:p>
        </w:tc>
        <w:tc>
          <w:tcPr>
            <w:tcW w:type="dxa" w:w="6160"/>
            <w:tcMar>
              <w:top w:type="dxa" w:w="70"/>
              <w:left w:type="dxa" w:w="90"/>
              <w:bottom w:type="dxa" w:w="70"/>
              <w:right w:type="dxa" w:w="90"/>
            </w:tcMar>
            <w:vAlign w:val="top"/>
          </w:tcPr>
          <w:p>
            <w:r>
              <w:rPr>
                <w:b w:val="false"/>
                <w:bCs w:val="false"/>
                <w:color w:val="000000"/>
                <w:sz w:val="19"/>
                <w:szCs w:val="19"/>
              </w:rPr>
              <w:t xml:space="preserve">All submitted forms for a selected Department + Form Name combination; primary HOD review/action screen in the Indore Division workflow.</w:t>
            </w:r>
          </w:p>
        </w:tc>
      </w:tr>
      <w:tr>
        <w:tc>
          <w:tcPr>
            <w:tcW w:type="dxa" w:w="3200"/>
            <w:tcMar>
              <w:top w:type="dxa" w:w="70"/>
              <w:left w:type="dxa" w:w="90"/>
              <w:bottom w:type="dxa" w:w="70"/>
              <w:right w:type="dxa" w:w="90"/>
            </w:tcMar>
            <w:vAlign w:val="top"/>
          </w:tcPr>
          <w:p>
            <w:r>
              <w:rPr>
                <w:b w:val="false"/>
                <w:bCs w:val="false"/>
                <w:color w:val="000000"/>
                <w:sz w:val="19"/>
                <w:szCs w:val="19"/>
              </w:rPr>
              <w:t xml:space="preserve">Sudden Inspection Report</w:t>
            </w:r>
          </w:p>
        </w:tc>
        <w:tc>
          <w:tcPr>
            <w:tcW w:type="dxa" w:w="6160"/>
            <w:tcMar>
              <w:top w:type="dxa" w:w="70"/>
              <w:left w:type="dxa" w:w="90"/>
              <w:bottom w:type="dxa" w:w="70"/>
              <w:right w:type="dxa" w:w="90"/>
            </w:tcMar>
            <w:vAlign w:val="top"/>
          </w:tcPr>
          <w:p>
            <w:r>
              <w:rPr>
                <w:b w:val="false"/>
                <w:bCs w:val="false"/>
                <w:color w:val="000000"/>
                <w:sz w:val="19"/>
                <w:szCs w:val="19"/>
              </w:rPr>
              <w:t xml:space="preserve">All unannounced-inspection records with inspector, date, site, remarks, photos.</w:t>
            </w:r>
          </w:p>
        </w:tc>
      </w:tr>
      <w:tr>
        <w:tc>
          <w:tcPr>
            <w:tcW w:type="dxa" w:w="3200"/>
            <w:tcMar>
              <w:top w:type="dxa" w:w="70"/>
              <w:left w:type="dxa" w:w="90"/>
              <w:bottom w:type="dxa" w:w="70"/>
              <w:right w:type="dxa" w:w="90"/>
            </w:tcMar>
            <w:vAlign w:val="top"/>
          </w:tcPr>
          <w:p>
            <w:r>
              <w:rPr>
                <w:b w:val="false"/>
                <w:bCs w:val="false"/>
                <w:color w:val="000000"/>
                <w:sz w:val="19"/>
                <w:szCs w:val="19"/>
              </w:rPr>
              <w:t xml:space="preserve">Asset Survey Report</w:t>
            </w:r>
          </w:p>
        </w:tc>
        <w:tc>
          <w:tcPr>
            <w:tcW w:type="dxa" w:w="6160"/>
            <w:tcMar>
              <w:top w:type="dxa" w:w="70"/>
              <w:left w:type="dxa" w:w="90"/>
              <w:bottom w:type="dxa" w:w="70"/>
              <w:right w:type="dxa" w:w="90"/>
            </w:tcMar>
            <w:vAlign w:val="top"/>
          </w:tcPr>
          <w:p>
            <w:r>
              <w:rPr>
                <w:b w:val="false"/>
                <w:bCs w:val="false"/>
                <w:color w:val="000000"/>
                <w:sz w:val="19"/>
                <w:szCs w:val="19"/>
              </w:rPr>
              <w:t xml:space="preserve">Digital survey record and analysis for departmental assets (buildings, plots, etc.).</w:t>
            </w:r>
          </w:p>
        </w:tc>
      </w:tr>
    </w:tbl>
    <w:p>
      <w:pPr>
        <w:pStyle w:val="Heading2"/>
        <w:spacing w:after="100" w:before="220"/>
      </w:pPr>
      <w:r>
        <w:t xml:space="preserve">6.8 Report Synchronisation (Sync Data)</w:t>
      </w:r>
    </w:p>
    <w:p>
      <w:pPr>
        <w:pStyle w:val="ListParagraph"/>
        <w:numPr>
          <w:ilvl w:val="0"/>
          <w:numId w:val="1"/>
        </w:numPr>
        <w:spacing w:after="60"/>
      </w:pPr>
      <w:r>
        <w:rPr>
          <w:sz w:val="21"/>
          <w:szCs w:val="21"/>
        </w:rPr>
        <w:t xml:space="preserve">A State Admin logs in and navigates to Tabular View of Inspection.</w:t>
      </w:r>
    </w:p>
    <w:p>
      <w:pPr>
        <w:pStyle w:val="ListParagraph"/>
        <w:numPr>
          <w:ilvl w:val="0"/>
          <w:numId w:val="1"/>
        </w:numPr>
        <w:spacing w:after="60"/>
      </w:pPr>
      <w:r>
        <w:rPr>
          <w:sz w:val="21"/>
          <w:szCs w:val="21"/>
        </w:rPr>
        <w:t xml:space="preserve">Clicking 'Sync Data' synchronises the latest inspection submissions into all associated department reports.</w:t>
      </w:r>
    </w:p>
    <w:p>
      <w:pPr>
        <w:pStyle w:val="ListParagraph"/>
        <w:numPr>
          <w:ilvl w:val="0"/>
          <w:numId w:val="1"/>
        </w:numPr>
        <w:spacing w:after="60"/>
      </w:pPr>
      <w:r>
        <w:rPr>
          <w:sz w:val="21"/>
          <w:szCs w:val="21"/>
        </w:rPr>
        <w:t xml:space="preserve">On completion the system confirms the sync; reports then reflect the latest inspection data in real time.</w:t>
      </w:r>
    </w:p>
    <w:p>
      <w:pPr>
        <w:pStyle w:val="ListParagraph"/>
        <w:numPr>
          <w:ilvl w:val="0"/>
          <w:numId w:val="1"/>
        </w:numPr>
        <w:spacing w:after="60"/>
      </w:pPr>
      <w:r>
        <w:rPr>
          <w:sz w:val="21"/>
          <w:szCs w:val="21"/>
        </w:rPr>
        <w:t xml:space="preserve">Troubleshooting guidance covers permission checks, connectivity checks, browser-cache clearing, and escalation to IT support / the Parakh helpdesk if sync repeatedly fails.</w:t>
      </w:r>
    </w:p>
    <w:p>
      <w:pPr>
        <w:pStyle w:val="Heading2"/>
        <w:spacing w:after="100" w:before="220"/>
      </w:pPr>
      <w:r>
        <w:t xml:space="preserve">6.9 District &amp; Department Multi-Form Rollouts</w:t>
      </w:r>
    </w:p>
    <w:p>
      <w:pPr>
        <w:pStyle w:val="ListParagraph"/>
        <w:numPr>
          <w:ilvl w:val="0"/>
          <w:numId w:val="1"/>
        </w:numPr>
        <w:spacing w:after="60"/>
      </w:pPr>
      <w:r>
        <w:rPr>
          <w:sz w:val="21"/>
          <w:szCs w:val="21"/>
        </w:rPr>
        <w:t xml:space="preserve">Betul District — 8-form rollout (KGBV Hostel, PM Poshan/PNRD, WCD Anganwadi, School Monitoring, Health, Mining, Aadhaar Centre, Tribal Hostel), including field-level CRs such as conditional Sector→Gram master-data dropdowns and mineral stock/quality/sand master lists.</w:t>
      </w:r>
    </w:p>
    <w:p>
      <w:pPr>
        <w:pStyle w:val="ListParagraph"/>
        <w:numPr>
          <w:ilvl w:val="0"/>
          <w:numId w:val="1"/>
        </w:numPr>
        <w:spacing w:after="60"/>
      </w:pPr>
      <w:r>
        <w:rPr>
          <w:sz w:val="21"/>
          <w:szCs w:val="21"/>
        </w:rPr>
        <w:t xml:space="preserve">Damoh District — 13-form rollout spanning BBGRAMJI, PMAY, Gram Nal Jal Praday, School/Institute, Anganwadi, Jan Vishwas (Health), Fair Price Shop, Petrol Pump, LPG Dealer, Farm &amp; Dairy (Jan Vishwas), Liquor Dept., Hostel/Ashram, and Krishi Saakh/Cooperative Society inspections.</w:t>
      </w:r>
    </w:p>
    <w:p>
      <w:pPr>
        <w:pStyle w:val="ListParagraph"/>
        <w:numPr>
          <w:ilvl w:val="0"/>
          <w:numId w:val="1"/>
        </w:numPr>
        <w:spacing w:after="60"/>
      </w:pPr>
      <w:r>
        <w:rPr>
          <w:sz w:val="21"/>
          <w:szCs w:val="21"/>
        </w:rPr>
        <w:t xml:space="preserve">Indore Division — the most advanced deployment: 17 departments / 58 institution-asset types on a common 5-section checklist shell (General Header, Asset Identification, 16–24 dept-specific checklist points rated Satisfactory/Unsatisfactory/N.A., geo-tagged photo evidence, Findings &amp; Closure), with a full Submitted→Pending→Verified/Closed (or Unapproved/Rejected) assignment-and-action-tracking workflow, a versioned Department/Sub-Department/Checklist-Template master data layer, and role-scoped dashboards up to Divisional Commissioner level.</w:t>
      </w:r>
    </w:p>
    <w:p>
      <w:pPr>
        <w:pStyle w:val="ListParagraph"/>
        <w:numPr>
          <w:ilvl w:val="0"/>
          <w:numId w:val="1"/>
        </w:numPr>
        <w:spacing w:after="60"/>
      </w:pPr>
      <w:r>
        <w:rPr>
          <w:sz w:val="21"/>
          <w:szCs w:val="21"/>
        </w:rPr>
        <w:t xml:space="preserve">55+ other districts/departments — individually onboarded inspection, survey, or data-collection forms per the PSR 'District Level Initiatives GIS' log, spanning Health, Education, Revenue, Forest, PWD, UADD, WCD, and many other departments.</w:t>
      </w:r>
    </w:p>
    <w:p>
      <w:pPr>
        <w:pStyle w:val="Heading2"/>
        <w:spacing w:after="100" w:before="220"/>
      </w:pPr>
      <w:r>
        <w:t xml:space="preserve">6.10 MP Cooperative Society — Nirikshan (Inspection) Module</w:t>
      </w:r>
    </w:p>
    <w:p>
      <w:pPr>
        <w:pStyle w:val="ListParagraph"/>
        <w:numPr>
          <w:ilvl w:val="0"/>
          <w:numId w:val="1"/>
        </w:numPr>
        <w:spacing w:after="60"/>
      </w:pPr>
      <w:r>
        <w:rPr>
          <w:sz w:val="21"/>
          <w:szCs w:val="21"/>
        </w:rPr>
        <w:t xml:space="preserve">Module 1 — Rooster &amp; Inspection Order Management: Commissioner creates/allocates the annual inspection Rooster, assigning cooperative offices to Nirikshankarta Officers; Rooster List screen tracks allocation status.</w:t>
      </w:r>
    </w:p>
    <w:p>
      <w:pPr>
        <w:pStyle w:val="ListParagraph"/>
        <w:numPr>
          <w:ilvl w:val="0"/>
          <w:numId w:val="1"/>
        </w:numPr>
        <w:spacing w:after="60"/>
      </w:pPr>
      <w:r>
        <w:rPr>
          <w:sz w:val="21"/>
          <w:szCs w:val="21"/>
        </w:rPr>
        <w:t xml:space="preserve">Module 2 — Assigned Inspection List &amp; Report Filing: Nirikshankarta Officer views assigned offices and files the inspection report against each.</w:t>
      </w:r>
    </w:p>
    <w:p>
      <w:pPr>
        <w:pStyle w:val="ListParagraph"/>
        <w:numPr>
          <w:ilvl w:val="0"/>
          <w:numId w:val="1"/>
        </w:numPr>
        <w:spacing w:after="60"/>
      </w:pPr>
      <w:r>
        <w:rPr>
          <w:sz w:val="21"/>
          <w:szCs w:val="21"/>
        </w:rPr>
        <w:t xml:space="preserve">Module 3 — Nirikshan Prativedan Digital Form (Sections A–M): the paper format was restructured (effective 23-07-2026) from a flat 48-item checklist into 13 lettered sections — (A) स्थापना (Setup/Admin) through (M) आईटी अवसंरचना (IT Infrastructure) — with system automation per field: Auto-fill, Auto Calculation (e.g. formula-driven totals), dropdown masters (designation, section/धारा, District), conditional Yes/No + Remark fields, and dynamic 'Add Row' tables for variable-length data (e.g. hardware inventory, court cases, recovery cases).</w:t>
      </w:r>
    </w:p>
    <w:p>
      <w:pPr>
        <w:pStyle w:val="ListParagraph"/>
        <w:numPr>
          <w:ilvl w:val="0"/>
          <w:numId w:val="1"/>
        </w:numPr>
        <w:spacing w:after="60"/>
      </w:pPr>
      <w:r>
        <w:rPr>
          <w:sz w:val="21"/>
          <w:szCs w:val="21"/>
        </w:rPr>
        <w:t xml:space="preserve">A new full module — (H) शहरी साख (Urban Credit Societies) — was added covering registered-institution counts, election status, audit status, Board-meeting info, AGM info, complaints, and departmental-inspection status for urban credit societies (7 new sub-tables).</w:t>
      </w:r>
    </w:p>
    <w:p>
      <w:pPr>
        <w:pStyle w:val="ListParagraph"/>
        <w:numPr>
          <w:ilvl w:val="0"/>
          <w:numId w:val="1"/>
        </w:numPr>
        <w:spacing w:after="60"/>
      </w:pPr>
      <w:r>
        <w:rPr>
          <w:sz w:val="21"/>
          <w:szCs w:val="21"/>
        </w:rPr>
        <w:t xml:space="preserve">11 of 24 legacy accounts/budget checklist items were dropped as no longer relevant (e.g. BTB register, casual-expense register, GPF standalone item) — see Nirikshan_Table_Column_Changes_Summary for the full old-vs-new field-level log.</w:t>
      </w:r>
    </w:p>
    <w:p>
      <w:pPr>
        <w:pStyle w:val="ListParagraph"/>
        <w:numPr>
          <w:ilvl w:val="0"/>
          <w:numId w:val="1"/>
        </w:numPr>
        <w:spacing w:after="60"/>
      </w:pPr>
      <w:r>
        <w:rPr>
          <w:sz w:val="21"/>
          <w:szCs w:val="21"/>
        </w:rPr>
        <w:t xml:space="preserve">Module 4 — Compliance / View-Inspection Dashboard for Commissioner-level monitoring.</w:t>
      </w:r>
    </w:p>
    <w:p>
      <w:pPr>
        <w:pStyle w:val="ListParagraph"/>
        <w:numPr>
          <w:ilvl w:val="0"/>
          <w:numId w:val="1"/>
        </w:numPr>
        <w:spacing w:after="60"/>
      </w:pPr>
      <w:r>
        <w:rPr>
          <w:sz w:val="21"/>
          <w:szCs w:val="21"/>
        </w:rPr>
        <w:t xml:space="preserve">Module 5 — User &amp; Designation Master Management (Commissioner/State-Admin scope): Create Designation, Create/Add User, User List.</w:t>
      </w:r>
    </w:p>
    <w:p>
      <w:pPr>
        <w:pStyle w:val="ListParagraph"/>
        <w:numPr>
          <w:ilvl w:val="0"/>
          <w:numId w:val="1"/>
        </w:numPr>
        <w:spacing w:after="60"/>
      </w:pPr>
      <w:r>
        <w:rPr>
          <w:sz w:val="21"/>
          <w:szCs w:val="21"/>
        </w:rPr>
        <w:t xml:space="preserve">Module 6 — Digital Signature (e-Sign) for formal sign-off on the completed Nirikshan Prativedan.</w:t>
      </w:r>
    </w:p>
    <w:p>
      <w:pPr>
        <w:pStyle w:val="Heading2"/>
        <w:spacing w:after="100" w:before="220"/>
      </w:pPr>
      <w:r>
        <w:t xml:space="preserve">6.11 PNRD (Panchayat &amp; Rural Development) — RES User &amp; Work Assignment</w:t>
      </w:r>
    </w:p>
    <w:p>
      <w:pPr>
        <w:pStyle w:val="Heading2"/>
        <w:spacing w:after="100" w:before="220"/>
      </w:pPr>
      <w:r>
        <w:t xml:space="preserve">6.12 CTA — Treasury &amp; JD Inspection</w:t>
      </w:r>
    </w:p>
    <w:p>
      <w:pPr>
        <w:pStyle w:val="ListParagraph"/>
        <w:numPr>
          <w:ilvl w:val="0"/>
          <w:numId w:val="1"/>
        </w:numPr>
        <w:spacing w:after="60"/>
      </w:pPr>
      <w:r>
        <w:rPr>
          <w:sz w:val="21"/>
          <w:szCs w:val="21"/>
        </w:rPr>
        <w:t xml:space="preserve">Treasury Inspection Form — for Treasury Officer-level inspection of treasury accounts.</w:t>
      </w:r>
    </w:p>
    <w:p>
      <w:pPr>
        <w:pStyle w:val="ListParagraph"/>
        <w:numPr>
          <w:ilvl w:val="0"/>
          <w:numId w:val="1"/>
        </w:numPr>
        <w:spacing w:after="60"/>
      </w:pPr>
      <w:r>
        <w:rPr>
          <w:sz w:val="21"/>
          <w:szCs w:val="21"/>
        </w:rPr>
        <w:t xml:space="preserve">JD (Joint Director) Inspection Form — a distinct, higher-authority inspection form for JD-level treasury reviews.</w:t>
      </w:r>
    </w:p>
    <w:p>
      <w:pPr>
        <w:pStyle w:val="ListParagraph"/>
        <w:numPr>
          <w:ilvl w:val="0"/>
          <w:numId w:val="1"/>
        </w:numPr>
        <w:spacing w:after="60"/>
      </w:pPr>
      <w:r>
        <w:rPr>
          <w:sz w:val="21"/>
          <w:szCs w:val="21"/>
        </w:rPr>
        <w:t xml:space="preserve">Both forms are in iterative Change-Request cycles with the CTA Department as of this consolidation (per the PSR Initiatives log).</w:t>
      </w:r>
    </w:p>
    <w:p>
      <w:pPr>
        <w:pStyle w:val="Heading2"/>
        <w:spacing w:after="100" w:before="220"/>
      </w:pPr>
      <w:r>
        <w:t xml:space="preserve">6.13 CM Jan Vishwas Abhiyaan — Mandated PARAKH Usage (Sagar District, Aug-2026)</w:t>
      </w:r>
    </w:p>
    <w:p>
      <w:pPr>
        <w:pStyle w:val="ListParagraph"/>
        <w:numPr>
          <w:ilvl w:val="0"/>
          <w:numId w:val="1"/>
        </w:numPr>
        <w:spacing w:after="60"/>
      </w:pPr>
      <w:r>
        <w:rPr>
          <w:sz w:val="21"/>
          <w:szCs w:val="21"/>
        </w:rPr>
        <w:t xml:space="preserve">Mandatory Digital Inspection — officers must record every field inspection through the PARAKH app at the site itself, not retrospectively.</w:t>
      </w:r>
    </w:p>
    <w:p>
      <w:pPr>
        <w:pStyle w:val="ListParagraph"/>
        <w:numPr>
          <w:ilvl w:val="0"/>
          <w:numId w:val="1"/>
        </w:numPr>
        <w:spacing w:after="60"/>
      </w:pPr>
      <w:r>
        <w:rPr>
          <w:sz w:val="21"/>
          <w:szCs w:val="21"/>
        </w:rPr>
        <w:t xml:space="preserve">Geo-tagged Photo &amp; Description — live geo-tagged photos and a description of the current condition of buildings/structures (drinking water, sanitation, electricity, and other basic facilities) must be uploaded to the app immediately.</w:t>
      </w:r>
    </w:p>
    <w:p>
      <w:pPr>
        <w:pStyle w:val="ListParagraph"/>
        <w:numPr>
          <w:ilvl w:val="0"/>
          <w:numId w:val="1"/>
        </w:numPr>
        <w:spacing w:after="60"/>
      </w:pPr>
      <w:r>
        <w:rPr>
          <w:sz w:val="21"/>
          <w:szCs w:val="21"/>
        </w:rPr>
        <w:t xml:space="preserve">Defect Flagging &amp; Rapid Resolution — any damage, maintenance lapse, or quality shortfall identified during inspection must be logged in the app and the responsible officer directed to correct it immediately.</w:t>
      </w:r>
    </w:p>
    <w:p>
      <w:pPr>
        <w:pStyle w:val="ListParagraph"/>
        <w:numPr>
          <w:ilvl w:val="0"/>
          <w:numId w:val="1"/>
        </w:numPr>
        <w:spacing w:after="60"/>
      </w:pPr>
      <w:r>
        <w:rPr>
          <w:sz w:val="21"/>
          <w:szCs w:val="21"/>
        </w:rPr>
        <w:t xml:space="preserve">Fortnightly Review — progress on uploaded inspections and defect resolution is reviewed at every T.L. (Time-Limit) meeting.</w:t>
      </w:r>
    </w:p>
    <w:p>
      <w:pPr>
        <w:pStyle w:val="ListParagraph"/>
        <w:numPr>
          <w:ilvl w:val="0"/>
          <w:numId w:val="1"/>
        </w:numPr>
        <w:spacing w:after="60"/>
      </w:pPr>
      <w:r>
        <w:rPr>
          <w:sz w:val="21"/>
          <w:szCs w:val="21"/>
        </w:rPr>
        <w:t xml:space="preserve">Feedback Loop for App Improvement — departments are directed to route any technical issues, feature requests, or improvement suggestions back to the Collectorate office so they can be forwarded to MPSeDC (referred to in the circular as the 'science &amp; technology department').</w:t>
      </w:r>
    </w:p>
    <w:p>
      <w:pPr>
        <w:pStyle w:val="ListParagraph"/>
        <w:numPr>
          <w:ilvl w:val="0"/>
          <w:numId w:val="1"/>
        </w:numPr>
        <w:spacing w:after="60"/>
      </w:pPr>
      <w:r>
        <w:rPr>
          <w:sz w:val="21"/>
          <w:szCs w:val="21"/>
        </w:rPr>
        <w:t xml:space="preserve">Departmental Login Provisioning — the District e-Governance office creates login credentials for all Department Heads, who may in turn create logins for their subordinate field officers.</w:t>
      </w:r>
    </w:p>
    <w:p>
      <w:pPr>
        <w:pStyle w:val="ListParagraph"/>
        <w:numPr>
          <w:ilvl w:val="0"/>
          <w:numId w:val="1"/>
        </w:numPr>
        <w:spacing w:after="60"/>
      </w:pPr>
      <w:r>
        <w:rPr>
          <w:sz w:val="21"/>
          <w:szCs w:val="21"/>
        </w:rPr>
        <w:t xml:space="preserve">Named local support contacts are published in the circular (District e-Governance Manager and GIS Executive) alongside the web portal and Play Store links, for technical/login issues.</w:t>
      </w:r>
    </w:p>
    <w:p>
      <w:pPr>
        <w:pStyle w:val="Heading2"/>
        <w:spacing w:after="100" w:before="220"/>
      </w:pPr>
      <w:r>
        <w:t xml:space="preserve">6.14 Workflow Management — Action Taken Reports &amp; Assignment Workflow</w:t>
      </w:r>
    </w:p>
    <w:p>
      <w:pPr>
        <w:pStyle w:val="ListParagraph"/>
        <w:numPr>
          <w:ilvl w:val="0"/>
          <w:numId w:val="1"/>
        </w:numPr>
        <w:spacing w:after="60"/>
      </w:pPr>
      <w:r>
        <w:rPr>
          <w:sz w:val="21"/>
          <w:szCs w:val="21"/>
        </w:rPr>
        <w:t xml:space="preserve">Action Taken Report (ATR) — piloted for the Tribal Department: logs a follow-up/corrective action against an inspection finding, with an action-owner, status tracking, and closure.</w:t>
      </w:r>
    </w:p>
    <w:p>
      <w:pPr>
        <w:pStyle w:val="ListParagraph"/>
        <w:numPr>
          <w:ilvl w:val="0"/>
          <w:numId w:val="1"/>
        </w:numPr>
        <w:spacing w:after="60"/>
      </w:pPr>
      <w:r>
        <w:rPr>
          <w:sz w:val="21"/>
          <w:szCs w:val="21"/>
        </w:rPr>
        <w:t xml:space="preserve">Indore Division's Submitted → Pending → Verified/Closed (or Unapproved/Rejected) status model (Section 6.9) is the platform's most mature implementation of this pattern and is the reference model for extending ATR-style workflows to other departments.</w:t>
      </w:r>
    </w:p>
    <w:p>
      <w:r>
        <w:br w:type="page"/>
      </w:r>
    </w:p>
    <w:p>
      <w:pPr>
        <w:pStyle w:val="Heading1"/>
        <w:spacing w:after="140" w:before="320"/>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E74B5" w:val="clear"/>
            <w:tcMar>
              <w:top w:type="dxa" w:w="70"/>
              <w:left w:type="dxa" w:w="90"/>
              <w:bottom w:type="dxa" w:w="70"/>
              <w:right w:type="dxa" w:w="90"/>
            </w:tcMar>
            <w:vAlign w:val="top"/>
          </w:tcPr>
          <w:p>
            <w:r>
              <w:rPr>
                <w:b/>
                <w:bCs/>
                <w:color w:val="FFFFFF"/>
                <w:sz w:val="19"/>
                <w:szCs w:val="19"/>
              </w:rPr>
              <w:t xml:space="preserve">Category</w:t>
            </w:r>
          </w:p>
        </w:tc>
        <w:tc>
          <w:tcPr>
            <w:tcW w:type="dxa" w:w="6960"/>
            <w:shd w:fill="2E74B5" w:val="clear"/>
            <w:tcMar>
              <w:top w:type="dxa" w:w="70"/>
              <w:left w:type="dxa" w:w="90"/>
              <w:bottom w:type="dxa" w:w="70"/>
              <w:right w:type="dxa" w:w="90"/>
            </w:tcMar>
            <w:vAlign w:val="top"/>
          </w:tcPr>
          <w:p>
            <w:r>
              <w:rPr>
                <w:b/>
                <w:bCs/>
                <w:color w:val="FFFFFF"/>
                <w:sz w:val="19"/>
                <w:szCs w:val="19"/>
              </w:rPr>
              <w:t xml:space="preserve">Requirement</w:t>
            </w:r>
          </w:p>
        </w:tc>
      </w:tr>
      <w:tr>
        <w:tc>
          <w:tcPr>
            <w:tcW w:type="dxa" w:w="2400"/>
            <w:tcMar>
              <w:top w:type="dxa" w:w="70"/>
              <w:left w:type="dxa" w:w="90"/>
              <w:bottom w:type="dxa" w:w="70"/>
              <w:right w:type="dxa" w:w="90"/>
            </w:tcMar>
            <w:vAlign w:val="top"/>
          </w:tcPr>
          <w:p>
            <w:r>
              <w:rPr>
                <w:b w:val="false"/>
                <w:bCs w:val="false"/>
                <w:color w:val="000000"/>
                <w:sz w:val="19"/>
                <w:szCs w:val="19"/>
              </w:rPr>
              <w:t xml:space="preserve">Availability &amp; Offline Support</w:t>
            </w:r>
          </w:p>
        </w:tc>
        <w:tc>
          <w:tcPr>
            <w:tcW w:type="dxa" w:w="6960"/>
            <w:tcMar>
              <w:top w:type="dxa" w:w="70"/>
              <w:left w:type="dxa" w:w="90"/>
              <w:bottom w:type="dxa" w:w="70"/>
              <w:right w:type="dxa" w:w="90"/>
            </w:tcMar>
            <w:vAlign w:val="top"/>
          </w:tcPr>
          <w:p>
            <w:r>
              <w:rPr>
                <w:b w:val="false"/>
                <w:bCs w:val="false"/>
                <w:color w:val="000000"/>
                <w:sz w:val="19"/>
                <w:szCs w:val="19"/>
              </w:rPr>
              <w:t xml:space="preserve">Mobile field capture must function without continuous connectivity (offline draft save with dropdown/mandatory-field validation) and sync automatically on reconnect without data loss (Indore Division build).</w:t>
            </w:r>
          </w:p>
        </w:tc>
      </w:tr>
      <w:tr>
        <w:tc>
          <w:tcPr>
            <w:tcW w:type="dxa" w:w="2400"/>
            <w:tcMar>
              <w:top w:type="dxa" w:w="70"/>
              <w:left w:type="dxa" w:w="90"/>
              <w:bottom w:type="dxa" w:w="70"/>
              <w:right w:type="dxa" w:w="90"/>
            </w:tcMar>
            <w:vAlign w:val="top"/>
          </w:tcPr>
          <w:p>
            <w:r>
              <w:rPr>
                <w:b w:val="false"/>
                <w:bCs w:val="false"/>
                <w:color w:val="000000"/>
                <w:sz w:val="19"/>
                <w:szCs w:val="19"/>
              </w:rPr>
              <w:t xml:space="preserve">Security &amp; Access Control</w:t>
            </w:r>
          </w:p>
        </w:tc>
        <w:tc>
          <w:tcPr>
            <w:tcW w:type="dxa" w:w="6960"/>
            <w:tcMar>
              <w:top w:type="dxa" w:w="70"/>
              <w:left w:type="dxa" w:w="90"/>
              <w:bottom w:type="dxa" w:w="70"/>
              <w:right w:type="dxa" w:w="90"/>
            </w:tcMar>
            <w:vAlign w:val="top"/>
          </w:tcPr>
          <w:p>
            <w:r>
              <w:rPr>
                <w:b w:val="false"/>
                <w:bCs w:val="false"/>
                <w:color w:val="000000"/>
                <w:sz w:val="19"/>
                <w:szCs w:val="19"/>
              </w:rPr>
              <w:t xml:space="preserve">Role-scoped access enforced at every level of the hierarchy (Section 4) — a role sees only data appropriate to its scope (own submissions / own department / own district / division-wide summary).</w:t>
            </w:r>
          </w:p>
        </w:tc>
      </w:tr>
      <w:tr>
        <w:tc>
          <w:tcPr>
            <w:tcW w:type="dxa" w:w="2400"/>
            <w:tcMar>
              <w:top w:type="dxa" w:w="70"/>
              <w:left w:type="dxa" w:w="90"/>
              <w:bottom w:type="dxa" w:w="70"/>
              <w:right w:type="dxa" w:w="90"/>
            </w:tcMar>
            <w:vAlign w:val="top"/>
          </w:tcPr>
          <w:p>
            <w:r>
              <w:rPr>
                <w:b w:val="false"/>
                <w:bCs w:val="false"/>
                <w:color w:val="000000"/>
                <w:sz w:val="19"/>
                <w:szCs w:val="19"/>
              </w:rPr>
              <w:t xml:space="preserve">Auditability</w:t>
            </w:r>
          </w:p>
        </w:tc>
        <w:tc>
          <w:tcPr>
            <w:tcW w:type="dxa" w:w="6960"/>
            <w:tcMar>
              <w:top w:type="dxa" w:w="70"/>
              <w:left w:type="dxa" w:w="90"/>
              <w:bottom w:type="dxa" w:w="70"/>
              <w:right w:type="dxa" w:w="90"/>
            </w:tcMar>
            <w:vAlign w:val="top"/>
          </w:tcPr>
          <w:p>
            <w:r>
              <w:rPr>
                <w:b w:val="false"/>
                <w:bCs w:val="false"/>
                <w:color w:val="000000"/>
                <w:sz w:val="19"/>
                <w:szCs w:val="19"/>
              </w:rPr>
              <w:t xml:space="preserve">Every inspection/survey record carries geo-tagged photo evidence, inspector identity, and timestamp; CMMI Level 5 process discipline is applied to documentation (version history, document approval sign-off) across module manuals.</w:t>
            </w:r>
          </w:p>
        </w:tc>
      </w:tr>
      <w:tr>
        <w:tc>
          <w:tcPr>
            <w:tcW w:type="dxa" w:w="2400"/>
            <w:tcMar>
              <w:top w:type="dxa" w:w="70"/>
              <w:left w:type="dxa" w:w="90"/>
              <w:bottom w:type="dxa" w:w="70"/>
              <w:right w:type="dxa" w:w="90"/>
            </w:tcMar>
            <w:vAlign w:val="top"/>
          </w:tcPr>
          <w:p>
            <w:r>
              <w:rPr>
                <w:b w:val="false"/>
                <w:bCs w:val="false"/>
                <w:color w:val="000000"/>
                <w:sz w:val="19"/>
                <w:szCs w:val="19"/>
              </w:rPr>
              <w:t xml:space="preserve">Bilingual Usability</w:t>
            </w:r>
          </w:p>
        </w:tc>
        <w:tc>
          <w:tcPr>
            <w:tcW w:type="dxa" w:w="6960"/>
            <w:tcMar>
              <w:top w:type="dxa" w:w="70"/>
              <w:left w:type="dxa" w:w="90"/>
              <w:bottom w:type="dxa" w:w="70"/>
              <w:right w:type="dxa" w:w="90"/>
            </w:tcMar>
            <w:vAlign w:val="top"/>
          </w:tcPr>
          <w:p>
            <w:r>
              <w:rPr>
                <w:b w:val="false"/>
                <w:bCs w:val="false"/>
                <w:color w:val="000000"/>
                <w:sz w:val="19"/>
                <w:szCs w:val="19"/>
              </w:rPr>
              <w:t xml:space="preserve">Core user manuals and several forms (e.g. Asset Survey, Nirikshan Prativedan) are maintained bilingually in English and Hindi to match field-officer literacy and government documentation norms.</w:t>
            </w:r>
          </w:p>
        </w:tc>
      </w:tr>
      <w:tr>
        <w:tc>
          <w:tcPr>
            <w:tcW w:type="dxa" w:w="2400"/>
            <w:tcMar>
              <w:top w:type="dxa" w:w="70"/>
              <w:left w:type="dxa" w:w="90"/>
              <w:bottom w:type="dxa" w:w="70"/>
              <w:right w:type="dxa" w:w="90"/>
            </w:tcMar>
            <w:vAlign w:val="top"/>
          </w:tcPr>
          <w:p>
            <w:r>
              <w:rPr>
                <w:b w:val="false"/>
                <w:bCs w:val="false"/>
                <w:color w:val="000000"/>
                <w:sz w:val="19"/>
                <w:szCs w:val="19"/>
              </w:rPr>
              <w:t xml:space="preserve">Data Integrity (Sync)</w:t>
            </w:r>
          </w:p>
        </w:tc>
        <w:tc>
          <w:tcPr>
            <w:tcW w:type="dxa" w:w="6960"/>
            <w:tcMar>
              <w:top w:type="dxa" w:w="70"/>
              <w:left w:type="dxa" w:w="90"/>
              <w:bottom w:type="dxa" w:w="70"/>
              <w:right w:type="dxa" w:w="90"/>
            </w:tcMar>
            <w:vAlign w:val="top"/>
          </w:tcPr>
          <w:p>
            <w:r>
              <w:rPr>
                <w:b w:val="false"/>
                <w:bCs w:val="false"/>
                <w:color w:val="000000"/>
                <w:sz w:val="19"/>
                <w:szCs w:val="19"/>
              </w:rPr>
              <w:t xml:space="preserve">Report data synchronisation (Section 6.8) must be explicitly triggerable and confirmable by a State Admin so reports are never silently stale.</w:t>
            </w:r>
          </w:p>
        </w:tc>
      </w:tr>
      <w:tr>
        <w:tc>
          <w:tcPr>
            <w:tcW w:type="dxa" w:w="2400"/>
            <w:tcMar>
              <w:top w:type="dxa" w:w="70"/>
              <w:left w:type="dxa" w:w="90"/>
              <w:bottom w:type="dxa" w:w="70"/>
              <w:right w:type="dxa" w:w="90"/>
            </w:tcMar>
            <w:vAlign w:val="top"/>
          </w:tcPr>
          <w:p>
            <w:r>
              <w:rPr>
                <w:b w:val="false"/>
                <w:bCs w:val="false"/>
                <w:color w:val="000000"/>
                <w:sz w:val="19"/>
                <w:szCs w:val="19"/>
              </w:rPr>
              <w:t xml:space="preserve">Configurability / No-Code Extensibility</w:t>
            </w:r>
          </w:p>
        </w:tc>
        <w:tc>
          <w:tcPr>
            <w:tcW w:type="dxa" w:w="6960"/>
            <w:tcMar>
              <w:top w:type="dxa" w:w="70"/>
              <w:left w:type="dxa" w:w="90"/>
              <w:bottom w:type="dxa" w:w="70"/>
              <w:right w:type="dxa" w:w="90"/>
            </w:tcMar>
            <w:vAlign w:val="top"/>
          </w:tcPr>
          <w:p>
            <w:r>
              <w:rPr>
                <w:b w:val="false"/>
                <w:bCs w:val="false"/>
                <w:color w:val="000000"/>
                <w:sz w:val="19"/>
                <w:szCs w:val="19"/>
              </w:rPr>
              <w:t xml:space="preserve">New forms, questions, and validation logic must be authorable by a department State Admin through the Dynamic Form Creation module without a developer-led release cycle for standard form types.</w:t>
            </w:r>
          </w:p>
        </w:tc>
      </w:tr>
      <w:tr>
        <w:tc>
          <w:tcPr>
            <w:tcW w:type="dxa" w:w="2400"/>
            <w:tcMar>
              <w:top w:type="dxa" w:w="70"/>
              <w:left w:type="dxa" w:w="90"/>
              <w:bottom w:type="dxa" w:w="70"/>
              <w:right w:type="dxa" w:w="90"/>
            </w:tcMar>
            <w:vAlign w:val="top"/>
          </w:tcPr>
          <w:p>
            <w:r>
              <w:rPr>
                <w:b w:val="false"/>
                <w:bCs w:val="false"/>
                <w:color w:val="000000"/>
                <w:sz w:val="19"/>
                <w:szCs w:val="19"/>
              </w:rPr>
              <w:t xml:space="preserve">Versioned Master &amp; Template Data</w:t>
            </w:r>
          </w:p>
        </w:tc>
        <w:tc>
          <w:tcPr>
            <w:tcW w:type="dxa" w:w="6960"/>
            <w:tcMar>
              <w:top w:type="dxa" w:w="70"/>
              <w:left w:type="dxa" w:w="90"/>
              <w:bottom w:type="dxa" w:w="70"/>
              <w:right w:type="dxa" w:w="90"/>
            </w:tcMar>
            <w:vAlign w:val="top"/>
          </w:tcPr>
          <w:p>
            <w:r>
              <w:rPr>
                <w:b w:val="false"/>
                <w:bCs w:val="false"/>
                <w:color w:val="000000"/>
                <w:sz w:val="19"/>
                <w:szCs w:val="19"/>
              </w:rPr>
              <w:t xml:space="preserve">Checklist templates and department/sub-department master data must be versioned (Indore Division requirement) so historical inspection records remain interpretable against the template version active at capture time.</w:t>
            </w:r>
          </w:p>
        </w:tc>
      </w:tr>
    </w:tbl>
    <w:p>
      <w:pPr>
        <w:pStyle w:val="Heading1"/>
        <w:spacing w:after="140" w:before="320"/>
      </w:pPr>
      <w:r>
        <w:t xml:space="preserve">8. Integration Requirements</w:t>
      </w:r>
    </w:p>
    <w:p>
      <w:pPr>
        <w:pStyle w:val="Heading2"/>
        <w:spacing w:after="100" w:before="220"/>
      </w:pPr>
      <w:r>
        <w:t xml:space="preserve">8.1 MP SSO (Single Sign-On) Integration</w:t>
      </w:r>
    </w:p>
    <w:p>
      <w:pPr>
        <w:pStyle w:val="ListParagraph"/>
        <w:numPr>
          <w:ilvl w:val="0"/>
          <w:numId w:val="1"/>
        </w:numPr>
        <w:spacing w:after="60"/>
      </w:pPr>
      <w:r>
        <w:rPr>
          <w:sz w:val="21"/>
          <w:szCs w:val="21"/>
        </w:rPr>
        <w:t xml:space="preserve">Register on the SSO portal, log in, and verify identity by OTP.</w:t>
      </w:r>
    </w:p>
    <w:p>
      <w:pPr>
        <w:pStyle w:val="ListParagraph"/>
        <w:numPr>
          <w:ilvl w:val="0"/>
          <w:numId w:val="1"/>
        </w:numPr>
        <w:spacing w:after="60"/>
      </w:pPr>
      <w:r>
        <w:rPr>
          <w:sz w:val="21"/>
          <w:szCs w:val="21"/>
        </w:rPr>
        <w:t xml:space="preserve">Under 'Manage Application', add Parakh as a managed application and complete the application-level authentication handshake.</w:t>
      </w:r>
    </w:p>
    <w:p>
      <w:pPr>
        <w:pStyle w:val="ListParagraph"/>
        <w:numPr>
          <w:ilvl w:val="0"/>
          <w:numId w:val="1"/>
        </w:numPr>
        <w:spacing w:after="60"/>
      </w:pPr>
      <w:r>
        <w:rPr>
          <w:sz w:val="21"/>
          <w:szCs w:val="21"/>
        </w:rPr>
        <w:t xml:space="preserve">Once added, Parakh appears on the user's SSO Dashboard for one-click access.</w:t>
      </w:r>
    </w:p>
    <w:p>
      <w:pPr>
        <w:pStyle w:val="Heading2"/>
        <w:spacing w:after="100" w:before="220"/>
      </w:pPr>
      <w:r>
        <w:t xml:space="preserve">8.2 MPGeo ↔ Parakh Integration (Geoportal Data Sharing)</w:t>
      </w:r>
    </w:p>
    <w:p>
      <w:pPr>
        <w:pStyle w:val="ListParagraph"/>
        <w:numPr>
          <w:ilvl w:val="0"/>
          <w:numId w:val="1"/>
        </w:numPr>
        <w:spacing w:after="60"/>
      </w:pPr>
      <w:r>
        <w:rPr>
          <w:sz w:val="21"/>
          <w:szCs w:val="21"/>
        </w:rPr>
        <w:t xml:space="preserve">A jointly maintained Mapping Table defines, per GIS layer, which Parakh form_id / dept_id to query and which column is the join key (e.g. school layer joins on dise_code).</w:t>
      </w:r>
    </w:p>
    <w:p>
      <w:pPr>
        <w:pStyle w:val="ListParagraph"/>
        <w:numPr>
          <w:ilvl w:val="0"/>
          <w:numId w:val="1"/>
        </w:numPr>
        <w:spacing w:after="60"/>
      </w:pPr>
      <w:r>
        <w:rPr>
          <w:sz w:val="21"/>
          <w:szCs w:val="21"/>
        </w:rPr>
        <w:t xml:space="preserve">fn_updation_in_parakh(department_id, form_id) — returns column headers/definitions so MPGeo can render fields correctly.</w:t>
      </w:r>
    </w:p>
    <w:p>
      <w:pPr>
        <w:pStyle w:val="ListParagraph"/>
        <w:numPr>
          <w:ilvl w:val="0"/>
          <w:numId w:val="1"/>
        </w:numPr>
        <w:spacing w:after="60"/>
      </w:pPr>
      <w:r>
        <w:rPr>
          <w:sz w:val="21"/>
          <w:szCs w:val="21"/>
        </w:rPr>
        <w:t xml:space="preserve">fn_get_department_general_reports_dynamic(form_id, user_id, limit, offset) — returns paginated inspection records (user_id = 1 fetches all records regardless of inspector); MPGeo increments offset by limit until a page returns fewer rows than the limit, to page through the full result set.</w:t>
      </w:r>
    </w:p>
    <w:p>
      <w:pPr>
        <w:pStyle w:val="ListParagraph"/>
        <w:numPr>
          <w:ilvl w:val="0"/>
          <w:numId w:val="1"/>
        </w:numPr>
        <w:spacing w:after="60"/>
      </w:pPr>
      <w:r>
        <w:rPr>
          <w:sz w:val="21"/>
          <w:szCs w:val="21"/>
        </w:rPr>
        <w:t xml:space="preserve">Prerequisite: the MPGeo server must have direct DB credentials and network connectivity to the Parakh database, arranged jointly before go-live.</w:t>
      </w:r>
    </w:p>
    <w:p>
      <w:pPr>
        <w:pStyle w:val="Heading1"/>
        <w:spacing w:after="140" w:before="320"/>
      </w:pPr>
      <w:r>
        <w:t xml:space="preserve">9. Data &amp; Master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74B5" w:val="clear"/>
            <w:tcMar>
              <w:top w:type="dxa" w:w="70"/>
              <w:left w:type="dxa" w:w="90"/>
              <w:bottom w:type="dxa" w:w="70"/>
              <w:right w:type="dxa" w:w="90"/>
            </w:tcMar>
            <w:vAlign w:val="top"/>
          </w:tcPr>
          <w:p>
            <w:r>
              <w:rPr>
                <w:b/>
                <w:bCs/>
                <w:color w:val="FFFFFF"/>
                <w:sz w:val="19"/>
                <w:szCs w:val="19"/>
              </w:rPr>
              <w:t xml:space="preserve">Master Data Type</w:t>
            </w:r>
          </w:p>
        </w:tc>
        <w:tc>
          <w:tcPr>
            <w:tcW w:type="dxa" w:w="6760"/>
            <w:shd w:fill="2E74B5" w:val="clear"/>
            <w:tcMar>
              <w:top w:type="dxa" w:w="70"/>
              <w:left w:type="dxa" w:w="90"/>
              <w:bottom w:type="dxa" w:w="70"/>
              <w:right w:type="dxa" w:w="90"/>
            </w:tcMar>
            <w:vAlign w:val="top"/>
          </w:tcPr>
          <w:p>
            <w:r>
              <w:rPr>
                <w:b/>
                <w:bCs/>
                <w:color w:val="FFFFFF"/>
                <w:sz w:val="19"/>
                <w:szCs w:val="19"/>
              </w:rPr>
              <w:t xml:space="preserve">Examples / Notes</w:t>
            </w:r>
          </w:p>
        </w:tc>
      </w:tr>
      <w:tr>
        <w:tc>
          <w:tcPr>
            <w:tcW w:type="dxa" w:w="2600"/>
            <w:tcMar>
              <w:top w:type="dxa" w:w="70"/>
              <w:left w:type="dxa" w:w="90"/>
              <w:bottom w:type="dxa" w:w="70"/>
              <w:right w:type="dxa" w:w="90"/>
            </w:tcMar>
            <w:vAlign w:val="top"/>
          </w:tcPr>
          <w:p>
            <w:r>
              <w:rPr>
                <w:b w:val="false"/>
                <w:bCs w:val="false"/>
                <w:color w:val="000000"/>
                <w:sz w:val="19"/>
                <w:szCs w:val="19"/>
              </w:rPr>
              <w:t xml:space="preserve">Department &amp; Sub-Department</w:t>
            </w:r>
          </w:p>
        </w:tc>
        <w:tc>
          <w:tcPr>
            <w:tcW w:type="dxa" w:w="6760"/>
            <w:tcMar>
              <w:top w:type="dxa" w:w="70"/>
              <w:left w:type="dxa" w:w="90"/>
              <w:bottom w:type="dxa" w:w="70"/>
              <w:right w:type="dxa" w:w="90"/>
            </w:tcMar>
            <w:vAlign w:val="top"/>
          </w:tcPr>
          <w:p>
            <w:r>
              <w:rPr>
                <w:b w:val="false"/>
                <w:bCs w:val="false"/>
                <w:color w:val="000000"/>
                <w:sz w:val="19"/>
                <w:szCs w:val="19"/>
              </w:rPr>
              <w:t xml:space="preserve">Department, Sub-Department (Institution Type) hierarchy — 17 departments / 58 types in Indore Division alone; versioned in the Divisional build.</w:t>
            </w:r>
          </w:p>
        </w:tc>
      </w:tr>
      <w:tr>
        <w:tc>
          <w:tcPr>
            <w:tcW w:type="dxa" w:w="2600"/>
            <w:tcMar>
              <w:top w:type="dxa" w:w="70"/>
              <w:left w:type="dxa" w:w="90"/>
              <w:bottom w:type="dxa" w:w="70"/>
              <w:right w:type="dxa" w:w="90"/>
            </w:tcMar>
            <w:vAlign w:val="top"/>
          </w:tcPr>
          <w:p>
            <w:r>
              <w:rPr>
                <w:b w:val="false"/>
                <w:bCs w:val="false"/>
                <w:color w:val="000000"/>
                <w:sz w:val="19"/>
                <w:szCs w:val="19"/>
              </w:rPr>
              <w:t xml:space="preserve">Designation</w:t>
            </w:r>
          </w:p>
        </w:tc>
        <w:tc>
          <w:tcPr>
            <w:tcW w:type="dxa" w:w="6760"/>
            <w:tcMar>
              <w:top w:type="dxa" w:w="70"/>
              <w:left w:type="dxa" w:w="90"/>
              <w:bottom w:type="dxa" w:w="70"/>
              <w:right w:type="dxa" w:w="90"/>
            </w:tcMar>
            <w:vAlign w:val="top"/>
          </w:tcPr>
          <w:p>
            <w:r>
              <w:rPr>
                <w:b w:val="false"/>
                <w:bCs w:val="false"/>
                <w:color w:val="000000"/>
                <w:sz w:val="19"/>
                <w:szCs w:val="19"/>
              </w:rPr>
              <w:t xml:space="preserve">Configurable via 'Create Designation'; used across role/profile creation platform-wide.</w:t>
            </w:r>
          </w:p>
        </w:tc>
      </w:tr>
      <w:tr>
        <w:tc>
          <w:tcPr>
            <w:tcW w:type="dxa" w:w="2600"/>
            <w:tcMar>
              <w:top w:type="dxa" w:w="70"/>
              <w:left w:type="dxa" w:w="90"/>
              <w:bottom w:type="dxa" w:w="70"/>
              <w:right w:type="dxa" w:w="90"/>
            </w:tcMar>
            <w:vAlign w:val="top"/>
          </w:tcPr>
          <w:p>
            <w:r>
              <w:rPr>
                <w:b w:val="false"/>
                <w:bCs w:val="false"/>
                <w:color w:val="000000"/>
                <w:sz w:val="19"/>
                <w:szCs w:val="19"/>
              </w:rPr>
              <w:t xml:space="preserve">Geographic Master</w:t>
            </w:r>
          </w:p>
        </w:tc>
        <w:tc>
          <w:tcPr>
            <w:tcW w:type="dxa" w:w="6760"/>
            <w:tcMar>
              <w:top w:type="dxa" w:w="70"/>
              <w:left w:type="dxa" w:w="90"/>
              <w:bottom w:type="dxa" w:w="70"/>
              <w:right w:type="dxa" w:w="90"/>
            </w:tcMar>
            <w:vAlign w:val="top"/>
          </w:tcPr>
          <w:p>
            <w:r>
              <w:rPr>
                <w:b w:val="false"/>
                <w:bCs w:val="false"/>
                <w:color w:val="000000"/>
                <w:sz w:val="19"/>
                <w:szCs w:val="19"/>
              </w:rPr>
              <w:t xml:space="preserve">District, Tehsil, Village/Gram, Sector — used for location selection and, in several district rollouts, for conditional cascading dropdowns (e.g. Betul's Sector→Gram logic).</w:t>
            </w:r>
          </w:p>
        </w:tc>
      </w:tr>
      <w:tr>
        <w:tc>
          <w:tcPr>
            <w:tcW w:type="dxa" w:w="2600"/>
            <w:tcMar>
              <w:top w:type="dxa" w:w="70"/>
              <w:left w:type="dxa" w:w="90"/>
              <w:bottom w:type="dxa" w:w="70"/>
              <w:right w:type="dxa" w:w="90"/>
            </w:tcMar>
            <w:vAlign w:val="top"/>
          </w:tcPr>
          <w:p>
            <w:r>
              <w:rPr>
                <w:b w:val="false"/>
                <w:bCs w:val="false"/>
                <w:color w:val="000000"/>
                <w:sz w:val="19"/>
                <w:szCs w:val="19"/>
              </w:rPr>
              <w:t xml:space="preserve">Checklist Template</w:t>
            </w:r>
          </w:p>
        </w:tc>
        <w:tc>
          <w:tcPr>
            <w:tcW w:type="dxa" w:w="6760"/>
            <w:tcMar>
              <w:top w:type="dxa" w:w="70"/>
              <w:left w:type="dxa" w:w="90"/>
              <w:bottom w:type="dxa" w:w="70"/>
              <w:right w:type="dxa" w:w="90"/>
            </w:tcMar>
            <w:vAlign w:val="top"/>
          </w:tcPr>
          <w:p>
            <w:r>
              <w:rPr>
                <w:b w:val="false"/>
                <w:bCs w:val="false"/>
                <w:color w:val="000000"/>
                <w:sz w:val="19"/>
                <w:szCs w:val="19"/>
              </w:rPr>
              <w:t xml:space="preserve">Versioned per department/institution type (Indore Division); defines the 16–24 dept-specific checklist points for a form.</w:t>
            </w:r>
          </w:p>
        </w:tc>
      </w:tr>
      <w:tr>
        <w:tc>
          <w:tcPr>
            <w:tcW w:type="dxa" w:w="2600"/>
            <w:tcMar>
              <w:top w:type="dxa" w:w="70"/>
              <w:left w:type="dxa" w:w="90"/>
              <w:bottom w:type="dxa" w:w="70"/>
              <w:right w:type="dxa" w:w="90"/>
            </w:tcMar>
            <w:vAlign w:val="top"/>
          </w:tcPr>
          <w:p>
            <w:r>
              <w:rPr>
                <w:b w:val="false"/>
                <w:bCs w:val="false"/>
                <w:color w:val="000000"/>
                <w:sz w:val="19"/>
                <w:szCs w:val="19"/>
              </w:rPr>
              <w:t xml:space="preserve">Domain-Specific Master Lists</w:t>
            </w:r>
          </w:p>
        </w:tc>
        <w:tc>
          <w:tcPr>
            <w:tcW w:type="dxa" w:w="6760"/>
            <w:tcMar>
              <w:top w:type="dxa" w:w="70"/>
              <w:left w:type="dxa" w:w="90"/>
              <w:bottom w:type="dxa" w:w="70"/>
              <w:right w:type="dxa" w:w="90"/>
            </w:tcMar>
            <w:vAlign w:val="top"/>
          </w:tcPr>
          <w:p>
            <w:r>
              <w:rPr>
                <w:b w:val="false"/>
                <w:bCs w:val="false"/>
                <w:color w:val="000000"/>
                <w:sz w:val="19"/>
                <w:szCs w:val="19"/>
              </w:rPr>
              <w:t xml:space="preserve">E.g. Betul's Mineral Stock/Quality-Level/Sand list for the Mining Inspection form; Aadhaar Centre master (Narmadapuram format adopted state-wide).</w:t>
            </w:r>
          </w:p>
        </w:tc>
      </w:tr>
      <w:tr>
        <w:tc>
          <w:tcPr>
            <w:tcW w:type="dxa" w:w="2600"/>
            <w:tcMar>
              <w:top w:type="dxa" w:w="70"/>
              <w:left w:type="dxa" w:w="90"/>
              <w:bottom w:type="dxa" w:w="70"/>
              <w:right w:type="dxa" w:w="90"/>
            </w:tcMar>
            <w:vAlign w:val="top"/>
          </w:tcPr>
          <w:p>
            <w:r>
              <w:rPr>
                <w:b w:val="false"/>
                <w:bCs w:val="false"/>
                <w:color w:val="000000"/>
                <w:sz w:val="19"/>
                <w:szCs w:val="19"/>
              </w:rPr>
              <w:t xml:space="preserve">Asset Master</w:t>
            </w:r>
          </w:p>
        </w:tc>
        <w:tc>
          <w:tcPr>
            <w:tcW w:type="dxa" w:w="6760"/>
            <w:tcMar>
              <w:top w:type="dxa" w:w="70"/>
              <w:left w:type="dxa" w:w="90"/>
              <w:bottom w:type="dxa" w:w="70"/>
              <w:right w:type="dxa" w:w="90"/>
            </w:tcMar>
            <w:vAlign w:val="top"/>
          </w:tcPr>
          <w:p>
            <w:r>
              <w:rPr>
                <w:b w:val="false"/>
                <w:bCs w:val="false"/>
                <w:color w:val="000000"/>
                <w:sz w:val="19"/>
                <w:szCs w:val="19"/>
              </w:rPr>
              <w:t xml:space="preserve">Government/departmental asset register underlying the Asset Survey module — created singly or via bulk upload.</w:t>
            </w:r>
          </w:p>
        </w:tc>
      </w:tr>
      <w:tr>
        <w:tc>
          <w:tcPr>
            <w:tcW w:type="dxa" w:w="2600"/>
            <w:tcMar>
              <w:top w:type="dxa" w:w="70"/>
              <w:left w:type="dxa" w:w="90"/>
              <w:bottom w:type="dxa" w:w="70"/>
              <w:right w:type="dxa" w:w="90"/>
            </w:tcMar>
            <w:vAlign w:val="top"/>
          </w:tcPr>
          <w:p>
            <w:r>
              <w:rPr>
                <w:b w:val="false"/>
                <w:bCs w:val="false"/>
                <w:color w:val="000000"/>
                <w:sz w:val="19"/>
                <w:szCs w:val="19"/>
              </w:rPr>
              <w:t xml:space="preserve">User &amp; Role Master</w:t>
            </w:r>
          </w:p>
        </w:tc>
        <w:tc>
          <w:tcPr>
            <w:tcW w:type="dxa" w:w="6760"/>
            <w:tcMar>
              <w:top w:type="dxa" w:w="70"/>
              <w:left w:type="dxa" w:w="90"/>
              <w:bottom w:type="dxa" w:w="70"/>
              <w:right w:type="dxa" w:w="90"/>
            </w:tcMar>
            <w:vAlign w:val="top"/>
          </w:tcPr>
          <w:p>
            <w:r>
              <w:rPr>
                <w:b w:val="false"/>
                <w:bCs w:val="false"/>
                <w:color w:val="000000"/>
                <w:sz w:val="19"/>
                <w:szCs w:val="19"/>
              </w:rPr>
              <w:t xml:space="preserve">Users, roles/designations, and the creation hierarchy in Section 4.</w:t>
            </w:r>
          </w:p>
        </w:tc>
      </w:tr>
    </w:tbl>
    <w:p>
      <w:pPr>
        <w:pStyle w:val="Heading1"/>
        <w:spacing w:after="140" w:before="320"/>
      </w:pPr>
      <w:r>
        <w:t xml:space="preserve">10. User Interface Requirements</w:t>
      </w:r>
    </w:p>
    <w:p>
      <w:pPr>
        <w:pStyle w:val="ListParagraph"/>
        <w:numPr>
          <w:ilvl w:val="0"/>
          <w:numId w:val="1"/>
        </w:numPr>
        <w:spacing w:after="60"/>
      </w:pPr>
      <w:r>
        <w:rPr>
          <w:sz w:val="21"/>
          <w:szCs w:val="21"/>
        </w:rPr>
        <w:t xml:space="preserve">Consistent home-dashboard pattern across department deployments: Field Inspection &amp; Survey, Save as Draft, Visited Sites, Profile, Reports.</w:t>
      </w:r>
    </w:p>
    <w:p>
      <w:pPr>
        <w:pStyle w:val="ListParagraph"/>
        <w:numPr>
          <w:ilvl w:val="0"/>
          <w:numId w:val="1"/>
        </w:numPr>
        <w:spacing w:after="60"/>
      </w:pPr>
      <w:r>
        <w:rPr>
          <w:sz w:val="21"/>
          <w:szCs w:val="21"/>
        </w:rPr>
        <w:t xml:space="preserve">Map-first interaction for site selection: filterable pin-map showing candidate inspection sites; tapping a pin opens the relevant form pre-bound to that location.</w:t>
      </w:r>
    </w:p>
    <w:p>
      <w:pPr>
        <w:pStyle w:val="ListParagraph"/>
        <w:numPr>
          <w:ilvl w:val="0"/>
          <w:numId w:val="1"/>
        </w:numPr>
        <w:spacing w:after="60"/>
      </w:pPr>
      <w:r>
        <w:rPr>
          <w:sz w:val="21"/>
          <w:szCs w:val="21"/>
        </w:rPr>
        <w:t xml:space="preserve">Role-appropriate landing views: Inspector sees assigned work; Reporting Officer/HOD sees a review-and-action report; Collector/Commissioner-level roles see summary dashboards only, not individual record editing.</w:t>
      </w:r>
    </w:p>
    <w:p>
      <w:pPr>
        <w:pStyle w:val="ListParagraph"/>
        <w:numPr>
          <w:ilvl w:val="0"/>
          <w:numId w:val="1"/>
        </w:numPr>
        <w:spacing w:after="60"/>
      </w:pPr>
      <w:r>
        <w:rPr>
          <w:sz w:val="21"/>
          <w:szCs w:val="21"/>
        </w:rPr>
        <w:t xml:space="preserve">Identical behaviour required across Web and Mobile for the same form (explicit Indore Division functional requirement, Section 5.3 of the Indore spec).</w:t>
      </w:r>
    </w:p>
    <w:p>
      <w:pPr>
        <w:pStyle w:val="Heading1"/>
        <w:spacing w:after="140" w:before="320"/>
      </w:pPr>
      <w:r>
        <w:t xml:space="preserve">11. Reporting &amp; Analytics Requirements</w:t>
      </w:r>
    </w:p>
    <w:p>
      <w:pPr>
        <w:pStyle w:val="ListParagraph"/>
        <w:numPr>
          <w:ilvl w:val="0"/>
          <w:numId w:val="1"/>
        </w:numPr>
        <w:spacing w:after="60"/>
      </w:pPr>
      <w:r>
        <w:rPr>
          <w:sz w:val="21"/>
          <w:szCs w:val="21"/>
        </w:rPr>
        <w:t xml:space="preserve">A completed-submissions list, filterable by department/district/reporting officer/user.</w:t>
      </w:r>
    </w:p>
    <w:p>
      <w:pPr>
        <w:pStyle w:val="ListParagraph"/>
        <w:numPr>
          <w:ilvl w:val="0"/>
          <w:numId w:val="1"/>
        </w:numPr>
        <w:spacing w:after="60"/>
      </w:pPr>
      <w:r>
        <w:rPr>
          <w:sz w:val="21"/>
          <w:szCs w:val="21"/>
        </w:rPr>
        <w:t xml:space="preserve">A department-wise / form-wise general report for HOD-level review and action.</w:t>
      </w:r>
    </w:p>
    <w:p>
      <w:pPr>
        <w:pStyle w:val="ListParagraph"/>
        <w:numPr>
          <w:ilvl w:val="0"/>
          <w:numId w:val="1"/>
        </w:numPr>
        <w:spacing w:after="60"/>
      </w:pPr>
      <w:r>
        <w:rPr>
          <w:sz w:val="21"/>
          <w:szCs w:val="21"/>
        </w:rPr>
        <w:t xml:space="preserve">State-Admin-triggered data synchronisation so reports reflect the latest field submissions on demand.</w:t>
      </w:r>
    </w:p>
    <w:p>
      <w:pPr>
        <w:pStyle w:val="ListParagraph"/>
        <w:numPr>
          <w:ilvl w:val="0"/>
          <w:numId w:val="1"/>
        </w:numPr>
        <w:spacing w:after="60"/>
      </w:pPr>
      <w:r>
        <w:rPr>
          <w:sz w:val="21"/>
          <w:szCs w:val="21"/>
        </w:rPr>
        <w:t xml:space="preserve">For multi-role workflows (e.g. Indore Division, MP Cooperative), a status/compliance dashboard scoped to each supervisory role's span of control.</w:t>
      </w:r>
    </w:p>
    <w:p>
      <w:pPr>
        <w:pStyle w:val="Heading1"/>
        <w:spacing w:after="140" w:before="320"/>
      </w:pPr>
      <w:r>
        <w:t xml:space="preserve">12. Assumptions &amp; Dependencies</w:t>
      </w:r>
    </w:p>
    <w:p>
      <w:pPr>
        <w:pStyle w:val="Heading2"/>
        <w:spacing w:after="100" w:before="220"/>
      </w:pPr>
      <w:r>
        <w:t xml:space="preserve">12.1 Assumptions</w:t>
      </w:r>
    </w:p>
    <w:p>
      <w:pPr>
        <w:pStyle w:val="ListParagraph"/>
        <w:numPr>
          <w:ilvl w:val="0"/>
          <w:numId w:val="1"/>
        </w:numPr>
        <w:spacing w:after="60"/>
      </w:pPr>
      <w:r>
        <w:rPr>
          <w:sz w:val="21"/>
          <w:szCs w:val="21"/>
        </w:rPr>
        <w:t xml:space="preserve">Departments requesting new forms will follow the official email-based request process (Section 6.3) rather than informal channels.</w:t>
      </w:r>
    </w:p>
    <w:p>
      <w:pPr>
        <w:pStyle w:val="ListParagraph"/>
        <w:numPr>
          <w:ilvl w:val="0"/>
          <w:numId w:val="1"/>
        </w:numPr>
        <w:spacing w:after="60"/>
      </w:pPr>
      <w:r>
        <w:rPr>
          <w:sz w:val="21"/>
          <w:szCs w:val="21"/>
        </w:rPr>
        <w:t xml:space="preserve">Field officers have, or will be issued, an Android-capable mobile device with location services enabled.</w:t>
      </w:r>
    </w:p>
    <w:p>
      <w:pPr>
        <w:pStyle w:val="ListParagraph"/>
        <w:numPr>
          <w:ilvl w:val="0"/>
          <w:numId w:val="1"/>
        </w:numPr>
        <w:spacing w:after="60"/>
      </w:pPr>
      <w:r>
        <w:rPr>
          <w:sz w:val="21"/>
          <w:szCs w:val="21"/>
        </w:rPr>
        <w:t xml:space="preserve">District e-Governance offices remain the first point of technical/login support, escalating to MPSeDC GIS/Dev teams as needed.</w:t>
      </w:r>
    </w:p>
    <w:p>
      <w:pPr>
        <w:pStyle w:val="ListParagraph"/>
        <w:numPr>
          <w:ilvl w:val="0"/>
          <w:numId w:val="1"/>
        </w:numPr>
        <w:spacing w:after="60"/>
      </w:pPr>
      <w:r>
        <w:rPr>
          <w:sz w:val="21"/>
          <w:szCs w:val="21"/>
        </w:rPr>
        <w:t xml:space="preserve">Master data supplied by departments (e.g. mineral lists, village masters) is accurate and departments will keep MPSeDC informed of updates.</w:t>
      </w:r>
    </w:p>
    <w:p>
      <w:pPr>
        <w:pStyle w:val="Heading2"/>
        <w:spacing w:after="100" w:before="220"/>
      </w:pPr>
      <w:r>
        <w:t xml:space="preserve">12.2 Dependencies</w:t>
      </w:r>
    </w:p>
    <w:p>
      <w:pPr>
        <w:pStyle w:val="ListParagraph"/>
        <w:numPr>
          <w:ilvl w:val="0"/>
          <w:numId w:val="1"/>
        </w:numPr>
        <w:spacing w:after="60"/>
      </w:pPr>
      <w:r>
        <w:rPr>
          <w:sz w:val="21"/>
          <w:szCs w:val="21"/>
        </w:rPr>
        <w:t xml:space="preserve">MPGeo integration depends on MPGeo server having direct database credentials/connectivity to the Parakh database, arranged jointly.</w:t>
      </w:r>
    </w:p>
    <w:p>
      <w:pPr>
        <w:pStyle w:val="ListParagraph"/>
        <w:numPr>
          <w:ilvl w:val="0"/>
          <w:numId w:val="1"/>
        </w:numPr>
        <w:spacing w:after="60"/>
      </w:pPr>
      <w:r>
        <w:rPr>
          <w:sz w:val="21"/>
          <w:szCs w:val="21"/>
        </w:rPr>
        <w:t xml:space="preserve">SSO integration depends on Parakh being fully registered and authenticated against sso.mp.gov.in — current documentation covers only the initial registration steps.</w:t>
      </w:r>
    </w:p>
    <w:p>
      <w:pPr>
        <w:pStyle w:val="ListParagraph"/>
        <w:numPr>
          <w:ilvl w:val="0"/>
          <w:numId w:val="1"/>
        </w:numPr>
        <w:spacing w:after="60"/>
      </w:pPr>
      <w:r>
        <w:rPr>
          <w:sz w:val="21"/>
          <w:szCs w:val="21"/>
        </w:rPr>
        <w:t xml:space="preserve">Multi-department rollouts (Betul, Damoh, Indore, 55+ others) depend on timely master-data submission and sign-off from each department per the onboarding lifecycle.</w:t>
      </w:r>
    </w:p>
    <w:p>
      <w:pPr>
        <w:pStyle w:val="ListParagraph"/>
        <w:numPr>
          <w:ilvl w:val="0"/>
          <w:numId w:val="1"/>
        </w:numPr>
        <w:spacing w:after="60"/>
      </w:pPr>
      <w:r>
        <w:rPr>
          <w:sz w:val="21"/>
          <w:szCs w:val="21"/>
        </w:rPr>
        <w:t xml:space="preserve">Mandated-adoption drives (e.g. Sagar's Jan Vishwas Abhiyaan circular) depend on district e-governance offices provisioning logins for all department heads and field officers promptly.</w:t>
      </w:r>
    </w:p>
    <w:p>
      <w:pPr>
        <w:pStyle w:val="Heading1"/>
        <w:spacing w:after="140" w:before="320"/>
      </w:pPr>
      <w:r>
        <w:t xml:space="preserve">13. Constraints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2E74B5" w:val="clear"/>
            <w:tcMar>
              <w:top w:type="dxa" w:w="70"/>
              <w:left w:type="dxa" w:w="90"/>
              <w:bottom w:type="dxa" w:w="70"/>
              <w:right w:type="dxa" w:w="90"/>
            </w:tcMar>
            <w:vAlign w:val="top"/>
          </w:tcPr>
          <w:p>
            <w:r>
              <w:rPr>
                <w:b/>
                <w:bCs/>
                <w:color w:val="FFFFFF"/>
                <w:sz w:val="19"/>
                <w:szCs w:val="19"/>
              </w:rPr>
              <w:t xml:space="preserve">Constraint / Risk</w:t>
            </w:r>
          </w:p>
        </w:tc>
        <w:tc>
          <w:tcPr>
            <w:tcW w:type="dxa" w:w="5160"/>
            <w:shd w:fill="2E74B5" w:val="clear"/>
            <w:tcMar>
              <w:top w:type="dxa" w:w="70"/>
              <w:left w:type="dxa" w:w="90"/>
              <w:bottom w:type="dxa" w:w="70"/>
              <w:right w:type="dxa" w:w="90"/>
            </w:tcMar>
            <w:vAlign w:val="top"/>
          </w:tcPr>
          <w:p>
            <w:r>
              <w:rPr>
                <w:b/>
                <w:bCs/>
                <w:color w:val="FFFFFF"/>
                <w:sz w:val="19"/>
                <w:szCs w:val="19"/>
              </w:rPr>
              <w:t xml:space="preserve">Notes</w:t>
            </w:r>
          </w:p>
        </w:tc>
      </w:tr>
      <w:tr>
        <w:tc>
          <w:tcPr>
            <w:tcW w:type="dxa" w:w="4200"/>
            <w:tcMar>
              <w:top w:type="dxa" w:w="70"/>
              <w:left w:type="dxa" w:w="90"/>
              <w:bottom w:type="dxa" w:w="70"/>
              <w:right w:type="dxa" w:w="90"/>
            </w:tcMar>
            <w:vAlign w:val="top"/>
          </w:tcPr>
          <w:p>
            <w:r>
              <w:rPr>
                <w:b w:val="false"/>
                <w:bCs w:val="false"/>
                <w:color w:val="000000"/>
                <w:sz w:val="19"/>
                <w:szCs w:val="19"/>
              </w:rPr>
              <w:t xml:space="preserve">No formal SLA-escalation workflow yet</w:t>
            </w:r>
          </w:p>
        </w:tc>
        <w:tc>
          <w:tcPr>
            <w:tcW w:type="dxa" w:w="5160"/>
            <w:tcMar>
              <w:top w:type="dxa" w:w="70"/>
              <w:left w:type="dxa" w:w="90"/>
              <w:bottom w:type="dxa" w:w="70"/>
              <w:right w:type="dxa" w:w="90"/>
            </w:tcMar>
            <w:vAlign w:val="top"/>
          </w:tcPr>
          <w:p>
            <w:r>
              <w:rPr>
                <w:b w:val="false"/>
                <w:bCs w:val="false"/>
                <w:color w:val="000000"/>
                <w:sz w:val="19"/>
                <w:szCs w:val="19"/>
              </w:rPr>
              <w:t xml:space="preserve">Indore Division and other multi-role workflows rely on manual Collector-level SLA monitoring; Phase 2 automated escalation is not yet built anywhere on the platform.</w:t>
            </w:r>
          </w:p>
        </w:tc>
      </w:tr>
      <w:tr>
        <w:tc>
          <w:tcPr>
            <w:tcW w:type="dxa" w:w="4200"/>
            <w:tcMar>
              <w:top w:type="dxa" w:w="70"/>
              <w:left w:type="dxa" w:w="90"/>
              <w:bottom w:type="dxa" w:w="70"/>
              <w:right w:type="dxa" w:w="90"/>
            </w:tcMar>
            <w:vAlign w:val="top"/>
          </w:tcPr>
          <w:p>
            <w:r>
              <w:rPr>
                <w:b w:val="false"/>
                <w:bCs w:val="false"/>
                <w:color w:val="000000"/>
                <w:sz w:val="19"/>
                <w:szCs w:val="19"/>
              </w:rPr>
              <w:t xml:space="preserve">SSO integration is only partially documented</w:t>
            </w:r>
          </w:p>
        </w:tc>
        <w:tc>
          <w:tcPr>
            <w:tcW w:type="dxa" w:w="5160"/>
            <w:tcMar>
              <w:top w:type="dxa" w:w="70"/>
              <w:left w:type="dxa" w:w="90"/>
              <w:bottom w:type="dxa" w:w="70"/>
              <w:right w:type="dxa" w:w="90"/>
            </w:tcMar>
            <w:vAlign w:val="top"/>
          </w:tcPr>
          <w:p>
            <w:r>
              <w:rPr>
                <w:b w:val="false"/>
                <w:bCs w:val="false"/>
                <w:color w:val="000000"/>
                <w:sz w:val="19"/>
                <w:szCs w:val="19"/>
              </w:rPr>
              <w:t xml:space="preserve">The SSO Implementation Steps document is an initial draft; functional/non-functional requirements and use cases listed in its own table of contents are not yet written up.</w:t>
            </w:r>
          </w:p>
        </w:tc>
      </w:tr>
      <w:tr>
        <w:tc>
          <w:tcPr>
            <w:tcW w:type="dxa" w:w="4200"/>
            <w:tcMar>
              <w:top w:type="dxa" w:w="70"/>
              <w:left w:type="dxa" w:w="90"/>
              <w:bottom w:type="dxa" w:w="70"/>
              <w:right w:type="dxa" w:w="90"/>
            </w:tcMar>
            <w:vAlign w:val="top"/>
          </w:tcPr>
          <w:p>
            <w:r>
              <w:rPr>
                <w:b w:val="false"/>
                <w:bCs w:val="false"/>
                <w:color w:val="000000"/>
                <w:sz w:val="19"/>
                <w:szCs w:val="19"/>
              </w:rPr>
              <w:t xml:space="preserve">MPGeo integration bypasses API layer</w:t>
            </w:r>
          </w:p>
        </w:tc>
        <w:tc>
          <w:tcPr>
            <w:tcW w:type="dxa" w:w="5160"/>
            <w:tcMar>
              <w:top w:type="dxa" w:w="70"/>
              <w:left w:type="dxa" w:w="90"/>
              <w:bottom w:type="dxa" w:w="70"/>
              <w:right w:type="dxa" w:w="90"/>
            </w:tcMar>
            <w:vAlign w:val="top"/>
          </w:tcPr>
          <w:p>
            <w:r>
              <w:rPr>
                <w:b w:val="false"/>
                <w:bCs w:val="false"/>
                <w:color w:val="000000"/>
                <w:sz w:val="19"/>
                <w:szCs w:val="19"/>
              </w:rPr>
              <w:t xml:space="preserve">Direct database function calls (not REST) create a tighter coupling between the two systems' database schemas than an API contract would; schema changes on either side need coordinated release.</w:t>
            </w:r>
          </w:p>
        </w:tc>
      </w:tr>
      <w:tr>
        <w:tc>
          <w:tcPr>
            <w:tcW w:type="dxa" w:w="4200"/>
            <w:tcMar>
              <w:top w:type="dxa" w:w="70"/>
              <w:left w:type="dxa" w:w="90"/>
              <w:bottom w:type="dxa" w:w="70"/>
              <w:right w:type="dxa" w:w="90"/>
            </w:tcMar>
            <w:vAlign w:val="top"/>
          </w:tcPr>
          <w:p>
            <w:r>
              <w:rPr>
                <w:b w:val="false"/>
                <w:bCs w:val="false"/>
                <w:color w:val="000000"/>
                <w:sz w:val="19"/>
                <w:szCs w:val="19"/>
              </w:rPr>
              <w:t xml:space="preserve">Form-onboarding is a manual, letter-based process</w:t>
            </w:r>
          </w:p>
        </w:tc>
        <w:tc>
          <w:tcPr>
            <w:tcW w:type="dxa" w:w="5160"/>
            <w:tcMar>
              <w:top w:type="dxa" w:w="70"/>
              <w:left w:type="dxa" w:w="90"/>
              <w:bottom w:type="dxa" w:w="70"/>
              <w:right w:type="dxa" w:w="90"/>
            </w:tcMar>
            <w:vAlign w:val="top"/>
          </w:tcPr>
          <w:p>
            <w:r>
              <w:rPr>
                <w:b w:val="false"/>
                <w:bCs w:val="false"/>
                <w:color w:val="000000"/>
                <w:sz w:val="19"/>
                <w:szCs w:val="19"/>
              </w:rPr>
              <w:t xml:space="preserve">Every new form starts with an official email/letter cycle (Phases 1–2); this is a deliberate governance control but is also the main lead-time driver for new department onboarding.</w:t>
            </w:r>
          </w:p>
        </w:tc>
      </w:tr>
      <w:tr>
        <w:tc>
          <w:tcPr>
            <w:tcW w:type="dxa" w:w="4200"/>
            <w:tcMar>
              <w:top w:type="dxa" w:w="70"/>
              <w:left w:type="dxa" w:w="90"/>
              <w:bottom w:type="dxa" w:w="70"/>
              <w:right w:type="dxa" w:w="90"/>
            </w:tcMar>
            <w:vAlign w:val="top"/>
          </w:tcPr>
          <w:p>
            <w:r>
              <w:rPr>
                <w:b w:val="false"/>
                <w:bCs w:val="false"/>
                <w:color w:val="000000"/>
                <w:sz w:val="19"/>
                <w:szCs w:val="19"/>
              </w:rPr>
              <w:t xml:space="preserve">Estimation/effort data is not tracked at the story level</w:t>
            </w:r>
          </w:p>
        </w:tc>
        <w:tc>
          <w:tcPr>
            <w:tcW w:type="dxa" w:w="5160"/>
            <w:tcMar>
              <w:top w:type="dxa" w:w="70"/>
              <w:left w:type="dxa" w:w="90"/>
              <w:bottom w:type="dxa" w:w="70"/>
              <w:right w:type="dxa" w:w="90"/>
            </w:tcMar>
            <w:vAlign w:val="top"/>
          </w:tcPr>
          <w:p>
            <w:r>
              <w:rPr>
                <w:b w:val="false"/>
                <w:bCs w:val="false"/>
                <w:color w:val="000000"/>
                <w:sz w:val="19"/>
                <w:szCs w:val="19"/>
              </w:rPr>
              <w:t xml:space="preserve">As documented in the accompanying DOU (18-Aug-2026), Parakh has no per-story timesheet data; delivery-effort figures used elsewhere are planning estimates, not logged actuals.</w:t>
            </w:r>
          </w:p>
        </w:tc>
      </w:tr>
    </w:tbl>
    <w:p>
      <w:pPr>
        <w:pStyle w:val="Heading1"/>
        <w:spacing w:after="140" w:before="320"/>
      </w:pPr>
      <w:r>
        <w:t xml:space="preserve">14. Glossary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2E74B5" w:val="clear"/>
            <w:tcMar>
              <w:top w:type="dxa" w:w="70"/>
              <w:left w:type="dxa" w:w="90"/>
              <w:bottom w:type="dxa" w:w="70"/>
              <w:right w:type="dxa" w:w="90"/>
            </w:tcMar>
            <w:vAlign w:val="top"/>
          </w:tcPr>
          <w:p>
            <w:r>
              <w:rPr>
                <w:b/>
                <w:bCs/>
                <w:color w:val="FFFFFF"/>
                <w:sz w:val="19"/>
                <w:szCs w:val="19"/>
              </w:rPr>
              <w:t xml:space="preserve">Term</w:t>
            </w:r>
          </w:p>
        </w:tc>
        <w:tc>
          <w:tcPr>
            <w:tcW w:type="dxa" w:w="7560"/>
            <w:shd w:fill="2E74B5" w:val="clear"/>
            <w:tcMar>
              <w:top w:type="dxa" w:w="70"/>
              <w:left w:type="dxa" w:w="90"/>
              <w:bottom w:type="dxa" w:w="70"/>
              <w:right w:type="dxa" w:w="90"/>
            </w:tcMar>
            <w:vAlign w:val="top"/>
          </w:tcPr>
          <w:p>
            <w:r>
              <w:rPr>
                <w:b/>
                <w:bCs/>
                <w:color w:val="FFFFFF"/>
                <w:sz w:val="19"/>
                <w:szCs w:val="19"/>
              </w:rPr>
              <w:t xml:space="preserve">Meaning</w:t>
            </w:r>
          </w:p>
        </w:tc>
      </w:tr>
      <w:tr>
        <w:tc>
          <w:tcPr>
            <w:tcW w:type="dxa" w:w="1800"/>
            <w:tcMar>
              <w:top w:type="dxa" w:w="70"/>
              <w:left w:type="dxa" w:w="90"/>
              <w:bottom w:type="dxa" w:w="70"/>
              <w:right w:type="dxa" w:w="90"/>
            </w:tcMar>
            <w:vAlign w:val="top"/>
          </w:tcPr>
          <w:p>
            <w:r>
              <w:rPr>
                <w:b w:val="false"/>
                <w:bCs w:val="false"/>
                <w:color w:val="000000"/>
                <w:sz w:val="19"/>
                <w:szCs w:val="19"/>
              </w:rPr>
              <w:t xml:space="preserve">MPSeDC</w:t>
            </w:r>
          </w:p>
        </w:tc>
        <w:tc>
          <w:tcPr>
            <w:tcW w:type="dxa" w:w="7560"/>
            <w:tcMar>
              <w:top w:type="dxa" w:w="70"/>
              <w:left w:type="dxa" w:w="90"/>
              <w:bottom w:type="dxa" w:w="70"/>
              <w:right w:type="dxa" w:w="90"/>
            </w:tcMar>
            <w:vAlign w:val="top"/>
          </w:tcPr>
          <w:p>
            <w:r>
              <w:rPr>
                <w:b w:val="false"/>
                <w:bCs w:val="false"/>
                <w:color w:val="000000"/>
                <w:sz w:val="19"/>
                <w:szCs w:val="19"/>
              </w:rPr>
              <w:t xml:space="preserve">Madhya Pradesh State Electronics Development Corporation — builds and operates Parakh.</w:t>
            </w:r>
          </w:p>
        </w:tc>
      </w:tr>
      <w:tr>
        <w:tc>
          <w:tcPr>
            <w:tcW w:type="dxa" w:w="1800"/>
            <w:tcMar>
              <w:top w:type="dxa" w:w="70"/>
              <w:left w:type="dxa" w:w="90"/>
              <w:bottom w:type="dxa" w:w="70"/>
              <w:right w:type="dxa" w:w="90"/>
            </w:tcMar>
            <w:vAlign w:val="top"/>
          </w:tcPr>
          <w:p>
            <w:r>
              <w:rPr>
                <w:b w:val="false"/>
                <w:bCs w:val="false"/>
                <w:color w:val="000000"/>
                <w:sz w:val="19"/>
                <w:szCs w:val="19"/>
              </w:rPr>
              <w:t xml:space="preserve">MPSSDI</w:t>
            </w:r>
          </w:p>
        </w:tc>
        <w:tc>
          <w:tcPr>
            <w:tcW w:type="dxa" w:w="7560"/>
            <w:tcMar>
              <w:top w:type="dxa" w:w="70"/>
              <w:left w:type="dxa" w:w="90"/>
              <w:bottom w:type="dxa" w:w="70"/>
              <w:right w:type="dxa" w:w="90"/>
            </w:tcMar>
            <w:vAlign w:val="top"/>
          </w:tcPr>
          <w:p>
            <w:r>
              <w:rPr>
                <w:b w:val="false"/>
                <w:bCs w:val="false"/>
                <w:color w:val="000000"/>
                <w:sz w:val="19"/>
                <w:szCs w:val="19"/>
              </w:rPr>
              <w:t xml:space="preserve">MPSeDC division under which the District GIS Parakh project sits.</w:t>
            </w:r>
          </w:p>
        </w:tc>
      </w:tr>
      <w:tr>
        <w:tc>
          <w:tcPr>
            <w:tcW w:type="dxa" w:w="1800"/>
            <w:tcMar>
              <w:top w:type="dxa" w:w="70"/>
              <w:left w:type="dxa" w:w="90"/>
              <w:bottom w:type="dxa" w:w="70"/>
              <w:right w:type="dxa" w:w="90"/>
            </w:tcMar>
            <w:vAlign w:val="top"/>
          </w:tcPr>
          <w:p>
            <w:r>
              <w:rPr>
                <w:b w:val="false"/>
                <w:bCs w:val="false"/>
                <w:color w:val="000000"/>
                <w:sz w:val="19"/>
                <w:szCs w:val="19"/>
              </w:rPr>
              <w:t xml:space="preserve">State Admin</w:t>
            </w:r>
          </w:p>
        </w:tc>
        <w:tc>
          <w:tcPr>
            <w:tcW w:type="dxa" w:w="7560"/>
            <w:tcMar>
              <w:top w:type="dxa" w:w="70"/>
              <w:left w:type="dxa" w:w="90"/>
              <w:bottom w:type="dxa" w:w="70"/>
              <w:right w:type="dxa" w:w="90"/>
            </w:tcMar>
            <w:vAlign w:val="top"/>
          </w:tcPr>
          <w:p>
            <w:r>
              <w:rPr>
                <w:b w:val="false"/>
                <w:bCs w:val="false"/>
                <w:color w:val="000000"/>
                <w:sz w:val="19"/>
                <w:szCs w:val="19"/>
              </w:rPr>
              <w:t xml:space="preserve">Top department-level administrative role on Parakh; creates Nodal Officers, forms, and questions.</w:t>
            </w:r>
          </w:p>
        </w:tc>
      </w:tr>
      <w:tr>
        <w:tc>
          <w:tcPr>
            <w:tcW w:type="dxa" w:w="1800"/>
            <w:tcMar>
              <w:top w:type="dxa" w:w="70"/>
              <w:left w:type="dxa" w:w="90"/>
              <w:bottom w:type="dxa" w:w="70"/>
              <w:right w:type="dxa" w:w="90"/>
            </w:tcMar>
            <w:vAlign w:val="top"/>
          </w:tcPr>
          <w:p>
            <w:r>
              <w:rPr>
                <w:b w:val="false"/>
                <w:bCs w:val="false"/>
                <w:color w:val="000000"/>
                <w:sz w:val="19"/>
                <w:szCs w:val="19"/>
              </w:rPr>
              <w:t xml:space="preserve">Nodal Officer</w:t>
            </w:r>
          </w:p>
        </w:tc>
        <w:tc>
          <w:tcPr>
            <w:tcW w:type="dxa" w:w="7560"/>
            <w:tcMar>
              <w:top w:type="dxa" w:w="70"/>
              <w:left w:type="dxa" w:w="90"/>
              <w:bottom w:type="dxa" w:w="70"/>
              <w:right w:type="dxa" w:w="90"/>
            </w:tcMar>
            <w:vAlign w:val="top"/>
          </w:tcPr>
          <w:p>
            <w:r>
              <w:rPr>
                <w:b w:val="false"/>
                <w:bCs w:val="false"/>
                <w:color w:val="000000"/>
                <w:sz w:val="19"/>
                <w:szCs w:val="19"/>
              </w:rPr>
              <w:t xml:space="preserve">District/department-level oversight role, created by State Admin.</w:t>
            </w:r>
          </w:p>
        </w:tc>
      </w:tr>
      <w:tr>
        <w:tc>
          <w:tcPr>
            <w:tcW w:type="dxa" w:w="1800"/>
            <w:tcMar>
              <w:top w:type="dxa" w:w="70"/>
              <w:left w:type="dxa" w:w="90"/>
              <w:bottom w:type="dxa" w:w="70"/>
              <w:right w:type="dxa" w:w="90"/>
            </w:tcMar>
            <w:vAlign w:val="top"/>
          </w:tcPr>
          <w:p>
            <w:r>
              <w:rPr>
                <w:b w:val="false"/>
                <w:bCs w:val="false"/>
                <w:color w:val="000000"/>
                <w:sz w:val="19"/>
                <w:szCs w:val="19"/>
              </w:rPr>
              <w:t xml:space="preserve">Reporting Officer (RO) / HOD</w:t>
            </w:r>
          </w:p>
        </w:tc>
        <w:tc>
          <w:tcPr>
            <w:tcW w:type="dxa" w:w="7560"/>
            <w:tcMar>
              <w:top w:type="dxa" w:w="70"/>
              <w:left w:type="dxa" w:w="90"/>
              <w:bottom w:type="dxa" w:w="70"/>
              <w:right w:type="dxa" w:w="90"/>
            </w:tcMar>
            <w:vAlign w:val="top"/>
          </w:tcPr>
          <w:p>
            <w:r>
              <w:rPr>
                <w:b w:val="false"/>
                <w:bCs w:val="false"/>
                <w:color w:val="000000"/>
                <w:sz w:val="19"/>
                <w:szCs w:val="19"/>
              </w:rPr>
              <w:t xml:space="preserve">Department Head role that creates Inspectors and reviews/approves submitted inspections.</w:t>
            </w:r>
          </w:p>
        </w:tc>
      </w:tr>
      <w:tr>
        <w:tc>
          <w:tcPr>
            <w:tcW w:type="dxa" w:w="1800"/>
            <w:tcMar>
              <w:top w:type="dxa" w:w="70"/>
              <w:left w:type="dxa" w:w="90"/>
              <w:bottom w:type="dxa" w:w="70"/>
              <w:right w:type="dxa" w:w="90"/>
            </w:tcMar>
            <w:vAlign w:val="top"/>
          </w:tcPr>
          <w:p>
            <w:r>
              <w:rPr>
                <w:b w:val="false"/>
                <w:bCs w:val="false"/>
                <w:color w:val="000000"/>
                <w:sz w:val="19"/>
                <w:szCs w:val="19"/>
              </w:rPr>
              <w:t xml:space="preserve">ATR</w:t>
            </w:r>
          </w:p>
        </w:tc>
        <w:tc>
          <w:tcPr>
            <w:tcW w:type="dxa" w:w="7560"/>
            <w:tcMar>
              <w:top w:type="dxa" w:w="70"/>
              <w:left w:type="dxa" w:w="90"/>
              <w:bottom w:type="dxa" w:w="70"/>
              <w:right w:type="dxa" w:w="90"/>
            </w:tcMar>
            <w:vAlign w:val="top"/>
          </w:tcPr>
          <w:p>
            <w:r>
              <w:rPr>
                <w:b w:val="false"/>
                <w:bCs w:val="false"/>
                <w:color w:val="000000"/>
                <w:sz w:val="19"/>
                <w:szCs w:val="19"/>
              </w:rPr>
              <w:t xml:space="preserve">Action Taken Report — workflow for tracking corrective action against an inspection finding.</w:t>
            </w:r>
          </w:p>
        </w:tc>
      </w:tr>
      <w:tr>
        <w:tc>
          <w:tcPr>
            <w:tcW w:type="dxa" w:w="1800"/>
            <w:tcMar>
              <w:top w:type="dxa" w:w="70"/>
              <w:left w:type="dxa" w:w="90"/>
              <w:bottom w:type="dxa" w:w="70"/>
              <w:right w:type="dxa" w:w="90"/>
            </w:tcMar>
            <w:vAlign w:val="top"/>
          </w:tcPr>
          <w:p>
            <w:r>
              <w:rPr>
                <w:b w:val="false"/>
                <w:bCs w:val="false"/>
                <w:color w:val="000000"/>
                <w:sz w:val="19"/>
                <w:szCs w:val="19"/>
              </w:rPr>
              <w:t xml:space="preserve">Nirikshan Prativedan</w:t>
            </w:r>
          </w:p>
        </w:tc>
        <w:tc>
          <w:tcPr>
            <w:tcW w:type="dxa" w:w="7560"/>
            <w:tcMar>
              <w:top w:type="dxa" w:w="70"/>
              <w:left w:type="dxa" w:w="90"/>
              <w:bottom w:type="dxa" w:w="70"/>
              <w:right w:type="dxa" w:w="90"/>
            </w:tcMar>
            <w:vAlign w:val="top"/>
          </w:tcPr>
          <w:p>
            <w:r>
              <w:rPr>
                <w:b w:val="false"/>
                <w:bCs w:val="false"/>
                <w:color w:val="000000"/>
                <w:sz w:val="19"/>
                <w:szCs w:val="19"/>
              </w:rPr>
              <w:t xml:space="preserve">Cooperative Department's formal Inspection Report format (Hindi).</w:t>
            </w:r>
          </w:p>
        </w:tc>
      </w:tr>
      <w:tr>
        <w:tc>
          <w:tcPr>
            <w:tcW w:type="dxa" w:w="1800"/>
            <w:tcMar>
              <w:top w:type="dxa" w:w="70"/>
              <w:left w:type="dxa" w:w="90"/>
              <w:bottom w:type="dxa" w:w="70"/>
              <w:right w:type="dxa" w:w="90"/>
            </w:tcMar>
            <w:vAlign w:val="top"/>
          </w:tcPr>
          <w:p>
            <w:r>
              <w:rPr>
                <w:b w:val="false"/>
                <w:bCs w:val="false"/>
                <w:color w:val="000000"/>
                <w:sz w:val="19"/>
                <w:szCs w:val="19"/>
              </w:rPr>
              <w:t xml:space="preserve">Rooster</w:t>
            </w:r>
          </w:p>
        </w:tc>
        <w:tc>
          <w:tcPr>
            <w:tcW w:type="dxa" w:w="7560"/>
            <w:tcMar>
              <w:top w:type="dxa" w:w="70"/>
              <w:left w:type="dxa" w:w="90"/>
              <w:bottom w:type="dxa" w:w="70"/>
              <w:right w:type="dxa" w:w="90"/>
            </w:tcMar>
            <w:vAlign w:val="top"/>
          </w:tcPr>
          <w:p>
            <w:r>
              <w:rPr>
                <w:b w:val="false"/>
                <w:bCs w:val="false"/>
                <w:color w:val="000000"/>
                <w:sz w:val="19"/>
                <w:szCs w:val="19"/>
              </w:rPr>
              <w:t xml:space="preserve">MP Cooperative module's inspection-order/allocation list assigning offices to Nirikshankarta Officers.</w:t>
            </w:r>
          </w:p>
        </w:tc>
      </w:tr>
      <w:tr>
        <w:tc>
          <w:tcPr>
            <w:tcW w:type="dxa" w:w="1800"/>
            <w:tcMar>
              <w:top w:type="dxa" w:w="70"/>
              <w:left w:type="dxa" w:w="90"/>
              <w:bottom w:type="dxa" w:w="70"/>
              <w:right w:type="dxa" w:w="90"/>
            </w:tcMar>
            <w:vAlign w:val="top"/>
          </w:tcPr>
          <w:p>
            <w:r>
              <w:rPr>
                <w:b w:val="false"/>
                <w:bCs w:val="false"/>
                <w:color w:val="000000"/>
                <w:sz w:val="19"/>
                <w:szCs w:val="19"/>
              </w:rPr>
              <w:t xml:space="preserve">SSO</w:t>
            </w:r>
          </w:p>
        </w:tc>
        <w:tc>
          <w:tcPr>
            <w:tcW w:type="dxa" w:w="7560"/>
            <w:tcMar>
              <w:top w:type="dxa" w:w="70"/>
              <w:left w:type="dxa" w:w="90"/>
              <w:bottom w:type="dxa" w:w="70"/>
              <w:right w:type="dxa" w:w="90"/>
            </w:tcMar>
            <w:vAlign w:val="top"/>
          </w:tcPr>
          <w:p>
            <w:r>
              <w:rPr>
                <w:b w:val="false"/>
                <w:bCs w:val="false"/>
                <w:color w:val="000000"/>
                <w:sz w:val="19"/>
                <w:szCs w:val="19"/>
              </w:rPr>
              <w:t xml:space="preserve">Single Sign-On — MP's central authentication service (sso.mp.gov.in).</w:t>
            </w:r>
          </w:p>
        </w:tc>
      </w:tr>
      <w:tr>
        <w:tc>
          <w:tcPr>
            <w:tcW w:type="dxa" w:w="1800"/>
            <w:tcMar>
              <w:top w:type="dxa" w:w="70"/>
              <w:left w:type="dxa" w:w="90"/>
              <w:bottom w:type="dxa" w:w="70"/>
              <w:right w:type="dxa" w:w="90"/>
            </w:tcMar>
            <w:vAlign w:val="top"/>
          </w:tcPr>
          <w:p>
            <w:r>
              <w:rPr>
                <w:b w:val="false"/>
                <w:bCs w:val="false"/>
                <w:color w:val="000000"/>
                <w:sz w:val="19"/>
                <w:szCs w:val="19"/>
              </w:rPr>
              <w:t xml:space="preserve">MPGeo</w:t>
            </w:r>
          </w:p>
        </w:tc>
        <w:tc>
          <w:tcPr>
            <w:tcW w:type="dxa" w:w="7560"/>
            <w:tcMar>
              <w:top w:type="dxa" w:w="70"/>
              <w:left w:type="dxa" w:w="90"/>
              <w:bottom w:type="dxa" w:w="70"/>
              <w:right w:type="dxa" w:w="90"/>
            </w:tcMar>
            <w:vAlign w:val="top"/>
          </w:tcPr>
          <w:p>
            <w:r>
              <w:rPr>
                <w:b w:val="false"/>
                <w:bCs w:val="false"/>
                <w:color w:val="000000"/>
                <w:sz w:val="19"/>
                <w:szCs w:val="19"/>
              </w:rPr>
              <w:t xml:space="preserve">Madhya Pradesh's state GIS Geoportal, onto which Parakh inspection data is surfaced.</w:t>
            </w:r>
          </w:p>
        </w:tc>
      </w:tr>
      <w:tr>
        <w:tc>
          <w:tcPr>
            <w:tcW w:type="dxa" w:w="1800"/>
            <w:tcMar>
              <w:top w:type="dxa" w:w="70"/>
              <w:left w:type="dxa" w:w="90"/>
              <w:bottom w:type="dxa" w:w="70"/>
              <w:right w:type="dxa" w:w="90"/>
            </w:tcMar>
            <w:vAlign w:val="top"/>
          </w:tcPr>
          <w:p>
            <w:r>
              <w:rPr>
                <w:b w:val="false"/>
                <w:bCs w:val="false"/>
                <w:color w:val="000000"/>
                <w:sz w:val="19"/>
                <w:szCs w:val="19"/>
              </w:rPr>
              <w:t xml:space="preserve">CMMI Level 5</w:t>
            </w:r>
          </w:p>
        </w:tc>
        <w:tc>
          <w:tcPr>
            <w:tcW w:type="dxa" w:w="7560"/>
            <w:tcMar>
              <w:top w:type="dxa" w:w="70"/>
              <w:left w:type="dxa" w:w="90"/>
              <w:bottom w:type="dxa" w:w="70"/>
              <w:right w:type="dxa" w:w="90"/>
            </w:tcMar>
            <w:vAlign w:val="top"/>
          </w:tcPr>
          <w:p>
            <w:r>
              <w:rPr>
                <w:b w:val="false"/>
                <w:bCs w:val="false"/>
                <w:color w:val="000000"/>
                <w:sz w:val="19"/>
                <w:szCs w:val="19"/>
              </w:rPr>
              <w:t xml:space="preserve">Capability Maturity Model Integration — highest maturity level; referenced in module manuals as the applicable process-discipline standard.</w:t>
            </w:r>
          </w:p>
        </w:tc>
      </w:tr>
      <w:tr>
        <w:tc>
          <w:tcPr>
            <w:tcW w:type="dxa" w:w="1800"/>
            <w:tcMar>
              <w:top w:type="dxa" w:w="70"/>
              <w:left w:type="dxa" w:w="90"/>
              <w:bottom w:type="dxa" w:w="70"/>
              <w:right w:type="dxa" w:w="90"/>
            </w:tcMar>
            <w:vAlign w:val="top"/>
          </w:tcPr>
          <w:p>
            <w:r>
              <w:rPr>
                <w:b w:val="false"/>
                <w:bCs w:val="false"/>
                <w:color w:val="000000"/>
                <w:sz w:val="19"/>
                <w:szCs w:val="19"/>
              </w:rPr>
              <w:t xml:space="preserve">UAT</w:t>
            </w:r>
          </w:p>
        </w:tc>
        <w:tc>
          <w:tcPr>
            <w:tcW w:type="dxa" w:w="7560"/>
            <w:tcMar>
              <w:top w:type="dxa" w:w="70"/>
              <w:left w:type="dxa" w:w="90"/>
              <w:bottom w:type="dxa" w:w="70"/>
              <w:right w:type="dxa" w:w="90"/>
            </w:tcMar>
            <w:vAlign w:val="top"/>
          </w:tcPr>
          <w:p>
            <w:r>
              <w:rPr>
                <w:b w:val="false"/>
                <w:bCs w:val="false"/>
                <w:color w:val="000000"/>
                <w:sz w:val="19"/>
                <w:szCs w:val="19"/>
              </w:rPr>
              <w:t xml:space="preserve">User Acceptance Testing — Phase 4 of the Form Onboarding lifecycle.</w:t>
            </w:r>
          </w:p>
        </w:tc>
      </w:tr>
      <w:tr>
        <w:tc>
          <w:tcPr>
            <w:tcW w:type="dxa" w:w="1800"/>
            <w:tcMar>
              <w:top w:type="dxa" w:w="70"/>
              <w:left w:type="dxa" w:w="90"/>
              <w:bottom w:type="dxa" w:w="70"/>
              <w:right w:type="dxa" w:w="90"/>
            </w:tcMar>
            <w:vAlign w:val="top"/>
          </w:tcPr>
          <w:p>
            <w:r>
              <w:rPr>
                <w:b w:val="false"/>
                <w:bCs w:val="false"/>
                <w:color w:val="000000"/>
                <w:sz w:val="19"/>
                <w:szCs w:val="19"/>
              </w:rPr>
              <w:t xml:space="preserve">CM Jan Vishwas Abhiyaan</w:t>
            </w:r>
          </w:p>
        </w:tc>
        <w:tc>
          <w:tcPr>
            <w:tcW w:type="dxa" w:w="7560"/>
            <w:tcMar>
              <w:top w:type="dxa" w:w="70"/>
              <w:left w:type="dxa" w:w="90"/>
              <w:bottom w:type="dxa" w:w="70"/>
              <w:right w:type="dxa" w:w="90"/>
            </w:tcMar>
            <w:vAlign w:val="top"/>
          </w:tcPr>
          <w:p>
            <w:r>
              <w:rPr>
                <w:b w:val="false"/>
                <w:bCs w:val="false"/>
                <w:color w:val="000000"/>
                <w:sz w:val="19"/>
                <w:szCs w:val="19"/>
              </w:rPr>
              <w:t xml:space="preserve">Mukhyamantri Jan Vishwas Abhiyaan — state programme under which district circulars (e.g. Sagar, Aug-2026) mandate PARAKH usage for asset/building inspections.</w:t>
            </w:r>
          </w:p>
        </w:tc>
      </w:tr>
    </w:tbl>
    <w:p>
      <w:r>
        <w:br w:type="page"/>
      </w:r>
    </w:p>
    <w:p>
      <w:pPr>
        <w:pStyle w:val="Heading1"/>
        <w:spacing w:after="140" w:before="320"/>
      </w:pPr>
      <w:r>
        <w:t xml:space="preserve">Appendix A — Change Log Example: MP Cooperative Nirikshan Form (Old vs New)</w:t>
      </w:r>
    </w:p>
    <w:p>
      <w:pPr>
        <w:pStyle w:val="ListParagraph"/>
        <w:numPr>
          <w:ilvl w:val="0"/>
          <w:numId w:val="1"/>
        </w:numPr>
        <w:spacing w:after="60"/>
      </w:pPr>
      <w:r>
        <w:rPr>
          <w:sz w:val="21"/>
          <w:szCs w:val="21"/>
        </w:rPr>
        <w:t xml:space="preserve">New columns added to existing tables — e.g. a 'Remark' column and an eHRMS-update Yes/No sub-item added to the Service Book Maintenance table; a Deemed-Registered-societies count column added to the ICMIS statistical table.</w:t>
      </w:r>
    </w:p>
    <w:p>
      <w:pPr>
        <w:pStyle w:val="ListParagraph"/>
        <w:numPr>
          <w:ilvl w:val="0"/>
          <w:numId w:val="1"/>
        </w:numPr>
        <w:spacing w:after="60"/>
      </w:pPr>
      <w:r>
        <w:rPr>
          <w:sz w:val="21"/>
          <w:szCs w:val="21"/>
        </w:rPr>
        <w:t xml:space="preserve">Tables restructured — e.g. the combined Admin/Audit Setup table split into two separate tables; the time-bound Registration Proposal table collapsed into a single Yes/No + Remark question.</w:t>
      </w:r>
    </w:p>
    <w:p>
      <w:pPr>
        <w:pStyle w:val="ListParagraph"/>
        <w:numPr>
          <w:ilvl w:val="0"/>
          <w:numId w:val="1"/>
        </w:numPr>
        <w:spacing w:after="60"/>
      </w:pPr>
      <w:r>
        <w:rPr>
          <w:sz w:val="21"/>
          <w:szCs w:val="21"/>
        </w:rPr>
        <w:t xml:space="preserve">An entirely new section — (H) शहरी साख (Urban Credit Societies), with 7 new sub-tables — added where the old form had only a 4-column summary.</w:t>
      </w:r>
    </w:p>
    <w:p>
      <w:pPr>
        <w:pStyle w:val="ListParagraph"/>
        <w:numPr>
          <w:ilvl w:val="0"/>
          <w:numId w:val="1"/>
        </w:numPr>
        <w:spacing w:after="60"/>
      </w:pPr>
      <w:r>
        <w:rPr>
          <w:sz w:val="21"/>
          <w:szCs w:val="21"/>
        </w:rPr>
        <w:t xml:space="preserve">11 of 24 legacy Accounts/Budget checklist items were formally dropped as obsolete (with the specific item numbers logged), rather than silently removed.</w:t>
      </w:r>
    </w:p>
    <w:p>
      <w:pPr>
        <w:pStyle w:val="ListParagraph"/>
        <w:numPr>
          <w:ilvl w:val="0"/>
          <w:numId w:val="1"/>
        </w:numPr>
        <w:spacing w:after="60"/>
      </w:pPr>
      <w:r>
        <w:rPr>
          <w:sz w:val="21"/>
          <w:szCs w:val="21"/>
        </w:rPr>
        <w:t xml:space="preserve">Automation tags (Auto, Auto-filled, Auto-Calculated, Dropdown master, Entry, Text field) were applied consistently across almost every table in the new format.</w:t>
      </w:r>
    </w:p>
    <w:p>
      <w:pPr>
        <w:pStyle w:val="ListParagraph"/>
        <w:numPr>
          <w:ilvl w:val="0"/>
          <w:numId w:val="1"/>
        </w:numPr>
        <w:spacing w:after="60"/>
      </w:pPr>
      <w:r>
        <w:rPr>
          <w:sz w:val="21"/>
          <w:szCs w:val="21"/>
        </w:rPr>
        <w:t xml:space="preserve">'Add Row' dynamic-table behaviour was explicitly specified for 7 named tables (e.g. hardware inventory, court-case tracking, recovery-case tracking).</w:t>
      </w:r>
    </w:p>
    <w:p>
      <w:pPr>
        <w:pStyle w:val="Heading1"/>
        <w:spacing w:after="140" w:before="320"/>
      </w:pPr>
      <w:r>
        <w:t xml:space="preserve">Appendix B — Complete Source Document Inventory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160"/>
      </w:tblGrid>
      <w:tr>
        <w:trPr>
          <w:tblHeader/>
        </w:trPr>
        <w:tc>
          <w:tcPr>
            <w:tcW w:type="dxa" w:w="4200"/>
            <w:shd w:fill="2E74B5" w:val="clear"/>
            <w:tcMar>
              <w:top w:type="dxa" w:w="70"/>
              <w:left w:type="dxa" w:w="90"/>
              <w:bottom w:type="dxa" w:w="70"/>
              <w:right w:type="dxa" w:w="90"/>
            </w:tcMar>
            <w:vAlign w:val="top"/>
          </w:tcPr>
          <w:p>
            <w:r>
              <w:rPr>
                <w:b/>
                <w:bCs/>
                <w:color w:val="FFFFFF"/>
                <w:sz w:val="19"/>
                <w:szCs w:val="19"/>
              </w:rPr>
              <w:t xml:space="preserve">Document</w:t>
            </w:r>
          </w:p>
        </w:tc>
        <w:tc>
          <w:tcPr>
            <w:tcW w:type="dxa" w:w="2200"/>
            <w:shd w:fill="2E74B5" w:val="clear"/>
            <w:tcMar>
              <w:top w:type="dxa" w:w="70"/>
              <w:left w:type="dxa" w:w="90"/>
              <w:bottom w:type="dxa" w:w="70"/>
              <w:right w:type="dxa" w:w="90"/>
            </w:tcMar>
            <w:vAlign w:val="top"/>
          </w:tcPr>
          <w:p>
            <w:r>
              <w:rPr>
                <w:b/>
                <w:bCs/>
                <w:color w:val="FFFFFF"/>
                <w:sz w:val="19"/>
                <w:szCs w:val="19"/>
              </w:rPr>
              <w:t xml:space="preserve">Version/Date</w:t>
            </w:r>
          </w:p>
        </w:tc>
        <w:tc>
          <w:tcPr>
            <w:tcW w:type="dxa" w:w="3160"/>
            <w:shd w:fill="2E74B5" w:val="clear"/>
            <w:tcMar>
              <w:top w:type="dxa" w:w="70"/>
              <w:left w:type="dxa" w:w="90"/>
              <w:bottom w:type="dxa" w:w="70"/>
              <w:right w:type="dxa" w:w="90"/>
            </w:tcMar>
            <w:vAlign w:val="top"/>
          </w:tcPr>
          <w:p>
            <w:r>
              <w:rPr>
                <w:b/>
                <w:bCs/>
                <w:color w:val="FFFFFF"/>
                <w:sz w:val="19"/>
                <w:szCs w:val="19"/>
              </w:rPr>
              <w:t xml:space="preserve">Primary Content</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Sudden Inspection User Manual</w:t>
            </w:r>
          </w:p>
        </w:tc>
        <w:tc>
          <w:tcPr>
            <w:tcW w:type="dxa" w:w="2200"/>
            <w:tcMar>
              <w:top w:type="dxa" w:w="70"/>
              <w:left w:type="dxa" w:w="90"/>
              <w:bottom w:type="dxa" w:w="70"/>
              <w:right w:type="dxa" w:w="90"/>
            </w:tcMar>
            <w:vAlign w:val="top"/>
          </w:tcPr>
          <w:p>
            <w:r>
              <w:rPr>
                <w:b w:val="false"/>
                <w:bCs w:val="false"/>
                <w:color w:val="000000"/>
                <w:sz w:val="19"/>
                <w:szCs w:val="19"/>
              </w:rPr>
              <w:t xml:space="preserve">V1.1</w:t>
            </w:r>
          </w:p>
        </w:tc>
        <w:tc>
          <w:tcPr>
            <w:tcW w:type="dxa" w:w="3160"/>
            <w:tcMar>
              <w:top w:type="dxa" w:w="70"/>
              <w:left w:type="dxa" w:w="90"/>
              <w:bottom w:type="dxa" w:w="70"/>
              <w:right w:type="dxa" w:w="90"/>
            </w:tcMar>
            <w:vAlign w:val="top"/>
          </w:tcPr>
          <w:p>
            <w:r>
              <w:rPr>
                <w:b w:val="false"/>
                <w:bCs w:val="false"/>
                <w:color w:val="000000"/>
                <w:sz w:val="19"/>
                <w:szCs w:val="19"/>
              </w:rPr>
              <w:t xml:space="preserve">Sudden/ad-hoc inspection mobile flow</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Form Onboarding Guide</w:t>
            </w:r>
          </w:p>
        </w:tc>
        <w:tc>
          <w:tcPr>
            <w:tcW w:type="dxa" w:w="2200"/>
            <w:tcMar>
              <w:top w:type="dxa" w:w="70"/>
              <w:left w:type="dxa" w:w="90"/>
              <w:bottom w:type="dxa" w:w="70"/>
              <w:right w:type="dxa" w:w="90"/>
            </w:tcMar>
            <w:vAlign w:val="top"/>
          </w:tcPr>
          <w:p>
            <w:r>
              <w:rPr>
                <w:b w:val="false"/>
                <w:bCs w:val="false"/>
                <w:color w:val="000000"/>
                <w:sz w:val="19"/>
                <w:szCs w:val="19"/>
              </w:rPr>
              <w:t xml:space="preserve">V1.0, May 2026</w:t>
            </w:r>
          </w:p>
        </w:tc>
        <w:tc>
          <w:tcPr>
            <w:tcW w:type="dxa" w:w="3160"/>
            <w:tcMar>
              <w:top w:type="dxa" w:w="70"/>
              <w:left w:type="dxa" w:w="90"/>
              <w:bottom w:type="dxa" w:w="70"/>
              <w:right w:type="dxa" w:w="90"/>
            </w:tcMar>
            <w:vAlign w:val="top"/>
          </w:tcPr>
          <w:p>
            <w:r>
              <w:rPr>
                <w:b w:val="false"/>
                <w:bCs w:val="false"/>
                <w:color w:val="000000"/>
                <w:sz w:val="19"/>
                <w:szCs w:val="19"/>
              </w:rPr>
              <w:t xml:space="preserve">Form onboarding lifecycle</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Sync Reports Guide</w:t>
            </w:r>
          </w:p>
        </w:tc>
        <w:tc>
          <w:tcPr>
            <w:tcW w:type="dxa" w:w="2200"/>
            <w:tcMar>
              <w:top w:type="dxa" w:w="70"/>
              <w:left w:type="dxa" w:w="90"/>
              <w:bottom w:type="dxa" w:w="70"/>
              <w:right w:type="dxa" w:w="90"/>
            </w:tcMar>
            <w:vAlign w:val="top"/>
          </w:tcPr>
          <w:p>
            <w:r>
              <w:rPr>
                <w:b w:val="false"/>
                <w:bCs w:val="false"/>
                <w:color w:val="000000"/>
                <w:sz w:val="19"/>
                <w:szCs w:val="19"/>
              </w:rPr>
              <w:t xml:space="preserve">V1.0</w:t>
            </w:r>
          </w:p>
        </w:tc>
        <w:tc>
          <w:tcPr>
            <w:tcW w:type="dxa" w:w="3160"/>
            <w:tcMar>
              <w:top w:type="dxa" w:w="70"/>
              <w:left w:type="dxa" w:w="90"/>
              <w:bottom w:type="dxa" w:w="70"/>
              <w:right w:type="dxa" w:w="90"/>
            </w:tcMar>
            <w:vAlign w:val="top"/>
          </w:tcPr>
          <w:p>
            <w:r>
              <w:rPr>
                <w:b w:val="false"/>
                <w:bCs w:val="false"/>
                <w:color w:val="000000"/>
                <w:sz w:val="19"/>
                <w:szCs w:val="19"/>
              </w:rPr>
              <w:t xml:space="preserve">State Admin report sync</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User Manual</w:t>
            </w:r>
          </w:p>
        </w:tc>
        <w:tc>
          <w:tcPr>
            <w:tcW w:type="dxa" w:w="2200"/>
            <w:tcMar>
              <w:top w:type="dxa" w:w="70"/>
              <w:left w:type="dxa" w:w="90"/>
              <w:bottom w:type="dxa" w:w="70"/>
              <w:right w:type="dxa" w:w="90"/>
            </w:tcMar>
            <w:vAlign w:val="top"/>
          </w:tcPr>
          <w:p>
            <w:r>
              <w:rPr>
                <w:b w:val="false"/>
                <w:bCs w:val="false"/>
                <w:color w:val="000000"/>
                <w:sz w:val="19"/>
                <w:szCs w:val="19"/>
              </w:rPr>
              <w:t xml:space="preserve">V1.2, May 2026</w:t>
            </w:r>
          </w:p>
        </w:tc>
        <w:tc>
          <w:tcPr>
            <w:tcW w:type="dxa" w:w="3160"/>
            <w:tcMar>
              <w:top w:type="dxa" w:w="70"/>
              <w:left w:type="dxa" w:w="90"/>
              <w:bottom w:type="dxa" w:w="70"/>
              <w:right w:type="dxa" w:w="90"/>
            </w:tcMar>
            <w:vAlign w:val="top"/>
          </w:tcPr>
          <w:p>
            <w:r>
              <w:rPr>
                <w:b w:val="false"/>
                <w:bCs w:val="false"/>
                <w:color w:val="000000"/>
                <w:sz w:val="19"/>
                <w:szCs w:val="19"/>
              </w:rPr>
              <w:t xml:space="preserve">Mobile &amp; Web core user flows</w:t>
            </w:r>
          </w:p>
        </w:tc>
      </w:tr>
      <w:tr>
        <w:tc>
          <w:tcPr>
            <w:tcW w:type="dxa" w:w="4200"/>
            <w:tcMar>
              <w:top w:type="dxa" w:w="70"/>
              <w:left w:type="dxa" w:w="90"/>
              <w:bottom w:type="dxa" w:w="70"/>
              <w:right w:type="dxa" w:w="90"/>
            </w:tcMar>
            <w:vAlign w:val="top"/>
          </w:tcPr>
          <w:p>
            <w:r>
              <w:rPr>
                <w:b w:val="false"/>
                <w:bCs w:val="false"/>
                <w:color w:val="000000"/>
                <w:sz w:val="19"/>
                <w:szCs w:val="19"/>
              </w:rPr>
              <w:t xml:space="preserve">Dynamic Form Creation Manual</w:t>
            </w:r>
          </w:p>
        </w:tc>
        <w:tc>
          <w:tcPr>
            <w:tcW w:type="dxa" w:w="2200"/>
            <w:tcMar>
              <w:top w:type="dxa" w:w="70"/>
              <w:left w:type="dxa" w:w="90"/>
              <w:bottom w:type="dxa" w:w="70"/>
              <w:right w:type="dxa" w:w="90"/>
            </w:tcMar>
            <w:vAlign w:val="top"/>
          </w:tcPr>
          <w:p>
            <w:r>
              <w:rPr>
                <w:b w:val="false"/>
                <w:bCs w:val="false"/>
                <w:color w:val="000000"/>
                <w:sz w:val="19"/>
                <w:szCs w:val="19"/>
              </w:rPr>
              <w:t xml:space="preserve">V2.0</w:t>
            </w:r>
          </w:p>
        </w:tc>
        <w:tc>
          <w:tcPr>
            <w:tcW w:type="dxa" w:w="3160"/>
            <w:tcMar>
              <w:top w:type="dxa" w:w="70"/>
              <w:left w:type="dxa" w:w="90"/>
              <w:bottom w:type="dxa" w:w="70"/>
              <w:right w:type="dxa" w:w="90"/>
            </w:tcMar>
            <w:vAlign w:val="top"/>
          </w:tcPr>
          <w:p>
            <w:r>
              <w:rPr>
                <w:b w:val="false"/>
                <w:bCs w:val="false"/>
                <w:color w:val="000000"/>
                <w:sz w:val="19"/>
                <w:szCs w:val="19"/>
              </w:rPr>
              <w:t xml:space="preserve">No-code form/question authoring</w:t>
            </w:r>
          </w:p>
        </w:tc>
      </w:tr>
      <w:tr>
        <w:tc>
          <w:tcPr>
            <w:tcW w:type="dxa" w:w="4200"/>
            <w:tcMar>
              <w:top w:type="dxa" w:w="70"/>
              <w:left w:type="dxa" w:w="90"/>
              <w:bottom w:type="dxa" w:w="70"/>
              <w:right w:type="dxa" w:w="90"/>
            </w:tcMar>
            <w:vAlign w:val="top"/>
          </w:tcPr>
          <w:p>
            <w:r>
              <w:rPr>
                <w:b w:val="false"/>
                <w:bCs w:val="false"/>
                <w:color w:val="000000"/>
                <w:sz w:val="19"/>
                <w:szCs w:val="19"/>
              </w:rPr>
              <w:t xml:space="preserve">MPGeo ↔ Parakh Integration Document</w:t>
            </w:r>
          </w:p>
        </w:tc>
        <w:tc>
          <w:tcPr>
            <w:tcW w:type="dxa" w:w="2200"/>
            <w:tcMar>
              <w:top w:type="dxa" w:w="70"/>
              <w:left w:type="dxa" w:w="90"/>
              <w:bottom w:type="dxa" w:w="70"/>
              <w:right w:type="dxa" w:w="90"/>
            </w:tcMar>
            <w:vAlign w:val="top"/>
          </w:tcPr>
          <w:p>
            <w:r>
              <w:rPr>
                <w:b w:val="false"/>
                <w:bCs w:val="false"/>
                <w:color w:val="000000"/>
                <w:sz w:val="19"/>
                <w:szCs w:val="19"/>
              </w:rPr>
              <w:t xml:space="preserve">V1.0 Draft</w:t>
            </w:r>
          </w:p>
        </w:tc>
        <w:tc>
          <w:tcPr>
            <w:tcW w:type="dxa" w:w="3160"/>
            <w:tcMar>
              <w:top w:type="dxa" w:w="70"/>
              <w:left w:type="dxa" w:w="90"/>
              <w:bottom w:type="dxa" w:w="70"/>
              <w:right w:type="dxa" w:w="90"/>
            </w:tcMar>
            <w:vAlign w:val="top"/>
          </w:tcPr>
          <w:p>
            <w:r>
              <w:rPr>
                <w:b w:val="false"/>
                <w:bCs w:val="false"/>
                <w:color w:val="000000"/>
                <w:sz w:val="19"/>
                <w:szCs w:val="19"/>
              </w:rPr>
              <w:t xml:space="preserve">Geoportal DB-function integration</w:t>
            </w:r>
          </w:p>
        </w:tc>
      </w:tr>
      <w:tr>
        <w:tc>
          <w:tcPr>
            <w:tcW w:type="dxa" w:w="4200"/>
            <w:tcMar>
              <w:top w:type="dxa" w:w="70"/>
              <w:left w:type="dxa" w:w="90"/>
              <w:bottom w:type="dxa" w:w="70"/>
              <w:right w:type="dxa" w:w="90"/>
            </w:tcMar>
            <w:vAlign w:val="top"/>
          </w:tcPr>
          <w:p>
            <w:r>
              <w:rPr>
                <w:b w:val="false"/>
                <w:bCs w:val="false"/>
                <w:color w:val="000000"/>
                <w:sz w:val="19"/>
                <w:szCs w:val="19"/>
              </w:rPr>
              <w:t xml:space="preserve">Parakh — About, Features &amp; Usage</w:t>
            </w:r>
          </w:p>
        </w:tc>
        <w:tc>
          <w:tcPr>
            <w:tcW w:type="dxa" w:w="2200"/>
            <w:tcMar>
              <w:top w:type="dxa" w:w="70"/>
              <w:left w:type="dxa" w:w="90"/>
              <w:bottom w:type="dxa" w:w="70"/>
              <w:right w:type="dxa" w:w="90"/>
            </w:tcMar>
            <w:vAlign w:val="top"/>
          </w:tcPr>
          <w:p>
            <w:r>
              <w:rPr>
                <w:b w:val="false"/>
                <w:bCs w:val="false"/>
                <w:color w:val="000000"/>
                <w:sz w:val="19"/>
                <w:szCs w:val="19"/>
              </w:rPr>
              <w:t xml:space="preserve">V2.0 / V3</w:t>
            </w:r>
          </w:p>
        </w:tc>
        <w:tc>
          <w:tcPr>
            <w:tcW w:type="dxa" w:w="3160"/>
            <w:tcMar>
              <w:top w:type="dxa" w:w="70"/>
              <w:left w:type="dxa" w:w="90"/>
              <w:bottom w:type="dxa" w:w="70"/>
              <w:right w:type="dxa" w:w="90"/>
            </w:tcMar>
            <w:vAlign w:val="top"/>
          </w:tcPr>
          <w:p>
            <w:r>
              <w:rPr>
                <w:b w:val="false"/>
                <w:bCs w:val="false"/>
                <w:color w:val="000000"/>
                <w:sz w:val="19"/>
                <w:szCs w:val="19"/>
              </w:rPr>
              <w:t xml:space="preserve">Platform overview, case studies</w:t>
            </w:r>
          </w:p>
        </w:tc>
      </w:tr>
      <w:tr>
        <w:tc>
          <w:tcPr>
            <w:tcW w:type="dxa" w:w="4200"/>
            <w:tcMar>
              <w:top w:type="dxa" w:w="70"/>
              <w:left w:type="dxa" w:w="90"/>
              <w:bottom w:type="dxa" w:w="70"/>
              <w:right w:type="dxa" w:w="90"/>
            </w:tcMar>
            <w:vAlign w:val="top"/>
          </w:tcPr>
          <w:p>
            <w:r>
              <w:rPr>
                <w:b w:val="false"/>
                <w:bCs w:val="false"/>
                <w:color w:val="000000"/>
                <w:sz w:val="19"/>
                <w:szCs w:val="19"/>
              </w:rPr>
              <w:t xml:space="preserve">SSO Implementation Steps</w:t>
            </w:r>
          </w:p>
        </w:tc>
        <w:tc>
          <w:tcPr>
            <w:tcW w:type="dxa" w:w="2200"/>
            <w:tcMar>
              <w:top w:type="dxa" w:w="70"/>
              <w:left w:type="dxa" w:w="90"/>
              <w:bottom w:type="dxa" w:w="70"/>
              <w:right w:type="dxa" w:w="90"/>
            </w:tcMar>
            <w:vAlign w:val="top"/>
          </w:tcPr>
          <w:p>
            <w:r>
              <w:rPr>
                <w:b w:val="false"/>
                <w:bCs w:val="false"/>
                <w:color w:val="000000"/>
                <w:sz w:val="19"/>
                <w:szCs w:val="19"/>
              </w:rPr>
              <w:t xml:space="preserve">Draft, Mar-2025</w:t>
            </w:r>
          </w:p>
        </w:tc>
        <w:tc>
          <w:tcPr>
            <w:tcW w:type="dxa" w:w="3160"/>
            <w:tcMar>
              <w:top w:type="dxa" w:w="70"/>
              <w:left w:type="dxa" w:w="90"/>
              <w:bottom w:type="dxa" w:w="70"/>
              <w:right w:type="dxa" w:w="90"/>
            </w:tcMar>
            <w:vAlign w:val="top"/>
          </w:tcPr>
          <w:p>
            <w:r>
              <w:rPr>
                <w:b w:val="false"/>
                <w:bCs w:val="false"/>
                <w:color w:val="000000"/>
                <w:sz w:val="19"/>
                <w:szCs w:val="19"/>
              </w:rPr>
              <w:t xml:space="preserve">MP SSO registration screen flow</w:t>
            </w:r>
          </w:p>
        </w:tc>
      </w:tr>
      <w:tr>
        <w:tc>
          <w:tcPr>
            <w:tcW w:type="dxa" w:w="4200"/>
            <w:tcMar>
              <w:top w:type="dxa" w:w="70"/>
              <w:left w:type="dxa" w:w="90"/>
              <w:bottom w:type="dxa" w:w="70"/>
              <w:right w:type="dxa" w:w="90"/>
            </w:tcMar>
            <w:vAlign w:val="top"/>
          </w:tcPr>
          <w:p>
            <w:r>
              <w:rPr>
                <w:b w:val="false"/>
                <w:bCs w:val="false"/>
                <w:color w:val="000000"/>
                <w:sz w:val="19"/>
                <w:szCs w:val="19"/>
              </w:rPr>
              <w:t xml:space="preserve">User Manual — Indore Inspection Forms</w:t>
            </w:r>
          </w:p>
        </w:tc>
        <w:tc>
          <w:tcPr>
            <w:tcW w:type="dxa" w:w="2200"/>
            <w:tcMar>
              <w:top w:type="dxa" w:w="70"/>
              <w:left w:type="dxa" w:w="90"/>
              <w:bottom w:type="dxa" w:w="70"/>
              <w:right w:type="dxa" w:w="90"/>
            </w:tcMar>
            <w:vAlign w:val="top"/>
          </w:tcPr>
          <w:p>
            <w:r>
              <w:rPr>
                <w:b w:val="false"/>
                <w:bCs w:val="false"/>
                <w:color w:val="000000"/>
                <w:sz w:val="19"/>
                <w:szCs w:val="19"/>
              </w:rPr>
              <w:t xml:space="preserve">V2.0</w:t>
            </w:r>
          </w:p>
        </w:tc>
        <w:tc>
          <w:tcPr>
            <w:tcW w:type="dxa" w:w="3160"/>
            <w:tcMar>
              <w:top w:type="dxa" w:w="70"/>
              <w:left w:type="dxa" w:w="90"/>
              <w:bottom w:type="dxa" w:w="70"/>
              <w:right w:type="dxa" w:w="90"/>
            </w:tcMar>
            <w:vAlign w:val="top"/>
          </w:tcPr>
          <w:p>
            <w:r>
              <w:rPr>
                <w:b w:val="false"/>
                <w:bCs w:val="false"/>
                <w:color w:val="000000"/>
                <w:sz w:val="19"/>
                <w:szCs w:val="19"/>
              </w:rPr>
              <w:t xml:space="preserve">Indore Division 17-dept rollout</w:t>
            </w:r>
          </w:p>
        </w:tc>
      </w:tr>
      <w:tr>
        <w:tc>
          <w:tcPr>
            <w:tcW w:type="dxa" w:w="4200"/>
            <w:tcMar>
              <w:top w:type="dxa" w:w="70"/>
              <w:left w:type="dxa" w:w="90"/>
              <w:bottom w:type="dxa" w:w="70"/>
              <w:right w:type="dxa" w:w="90"/>
            </w:tcMar>
            <w:vAlign w:val="top"/>
          </w:tcPr>
          <w:p>
            <w:r>
              <w:rPr>
                <w:b w:val="false"/>
                <w:bCs w:val="false"/>
                <w:color w:val="000000"/>
                <w:sz w:val="19"/>
                <w:szCs w:val="19"/>
              </w:rPr>
              <w:t xml:space="preserve">BRD — MP Cooperative Nirikshan Module</w:t>
            </w:r>
          </w:p>
        </w:tc>
        <w:tc>
          <w:tcPr>
            <w:tcW w:type="dxa" w:w="2200"/>
            <w:tcMar>
              <w:top w:type="dxa" w:w="70"/>
              <w:left w:type="dxa" w:w="90"/>
              <w:bottom w:type="dxa" w:w="70"/>
              <w:right w:type="dxa" w:w="90"/>
            </w:tcMar>
            <w:vAlign w:val="top"/>
          </w:tcPr>
          <w:p>
            <w:r>
              <w:rPr>
                <w:b w:val="false"/>
                <w:bCs w:val="false"/>
                <w:color w:val="000000"/>
                <w:sz w:val="19"/>
                <w:szCs w:val="19"/>
              </w:rPr>
              <w:t xml:space="preserve">V2.1, 29-Jul-2026</w:t>
            </w:r>
          </w:p>
        </w:tc>
        <w:tc>
          <w:tcPr>
            <w:tcW w:type="dxa" w:w="3160"/>
            <w:tcMar>
              <w:top w:type="dxa" w:w="70"/>
              <w:left w:type="dxa" w:w="90"/>
              <w:bottom w:type="dxa" w:w="70"/>
              <w:right w:type="dxa" w:w="90"/>
            </w:tcMar>
            <w:vAlign w:val="top"/>
          </w:tcPr>
          <w:p>
            <w:r>
              <w:rPr>
                <w:b w:val="false"/>
                <w:bCs w:val="false"/>
                <w:color w:val="000000"/>
                <w:sz w:val="19"/>
                <w:szCs w:val="19"/>
              </w:rPr>
              <w:t xml:space="preserve">Cooperative Dept module BRD</w:t>
            </w:r>
          </w:p>
        </w:tc>
      </w:tr>
      <w:tr>
        <w:tc>
          <w:tcPr>
            <w:tcW w:type="dxa" w:w="4200"/>
            <w:tcMar>
              <w:top w:type="dxa" w:w="70"/>
              <w:left w:type="dxa" w:w="90"/>
              <w:bottom w:type="dxa" w:w="70"/>
              <w:right w:type="dxa" w:w="90"/>
            </w:tcMar>
            <w:vAlign w:val="top"/>
          </w:tcPr>
          <w:p>
            <w:r>
              <w:rPr>
                <w:b w:val="false"/>
                <w:bCs w:val="false"/>
                <w:color w:val="000000"/>
                <w:sz w:val="19"/>
                <w:szCs w:val="19"/>
              </w:rPr>
              <w:t xml:space="preserve">Complete Generic User Manual (Mobile &amp; Web)</w:t>
            </w:r>
          </w:p>
        </w:tc>
        <w:tc>
          <w:tcPr>
            <w:tcW w:type="dxa" w:w="2200"/>
            <w:tcMar>
              <w:top w:type="dxa" w:w="70"/>
              <w:left w:type="dxa" w:w="90"/>
              <w:bottom w:type="dxa" w:w="70"/>
              <w:right w:type="dxa" w:w="90"/>
            </w:tcMar>
            <w:vAlign w:val="top"/>
          </w:tcPr>
          <w:p>
            <w:r>
              <w:rPr>
                <w:b w:val="false"/>
                <w:bCs w:val="false"/>
                <w:color w:val="000000"/>
                <w:sz w:val="19"/>
                <w:szCs w:val="19"/>
              </w:rPr>
              <w:t xml:space="preserve">V1.2</w:t>
            </w:r>
          </w:p>
        </w:tc>
        <w:tc>
          <w:tcPr>
            <w:tcW w:type="dxa" w:w="3160"/>
            <w:tcMar>
              <w:top w:type="dxa" w:w="70"/>
              <w:left w:type="dxa" w:w="90"/>
              <w:bottom w:type="dxa" w:w="70"/>
              <w:right w:type="dxa" w:w="90"/>
            </w:tcMar>
            <w:vAlign w:val="top"/>
          </w:tcPr>
          <w:p>
            <w:r>
              <w:rPr>
                <w:b w:val="false"/>
                <w:bCs w:val="false"/>
                <w:color w:val="000000"/>
                <w:sz w:val="19"/>
                <w:szCs w:val="19"/>
              </w:rPr>
              <w:t xml:space="preserve">Department hierarchy &amp; workflow</w:t>
            </w:r>
          </w:p>
        </w:tc>
      </w:tr>
      <w:tr>
        <w:tc>
          <w:tcPr>
            <w:tcW w:type="dxa" w:w="4200"/>
            <w:tcMar>
              <w:top w:type="dxa" w:w="70"/>
              <w:left w:type="dxa" w:w="90"/>
              <w:bottom w:type="dxa" w:w="70"/>
              <w:right w:type="dxa" w:w="90"/>
            </w:tcMar>
            <w:vAlign w:val="top"/>
          </w:tcPr>
          <w:p>
            <w:r>
              <w:rPr>
                <w:b w:val="false"/>
                <w:bCs w:val="false"/>
                <w:color w:val="000000"/>
                <w:sz w:val="19"/>
                <w:szCs w:val="19"/>
              </w:rPr>
              <w:t xml:space="preserve">PNRD RES User &amp; Work Assignment Manual</w:t>
            </w:r>
          </w:p>
        </w:tc>
        <w:tc>
          <w:tcPr>
            <w:tcW w:type="dxa" w:w="2200"/>
            <w:tcMar>
              <w:top w:type="dxa" w:w="70"/>
              <w:left w:type="dxa" w:w="90"/>
              <w:bottom w:type="dxa" w:w="70"/>
              <w:right w:type="dxa" w:w="90"/>
            </w:tcMar>
            <w:vAlign w:val="top"/>
          </w:tcPr>
          <w:p>
            <w:r>
              <w:rPr>
                <w:b w:val="false"/>
                <w:bCs w:val="false"/>
                <w:color w:val="000000"/>
                <w:sz w:val="19"/>
                <w:szCs w:val="19"/>
              </w:rPr>
              <w:t xml:space="preserve">—</w:t>
            </w:r>
          </w:p>
        </w:tc>
        <w:tc>
          <w:tcPr>
            <w:tcW w:type="dxa" w:w="3160"/>
            <w:tcMar>
              <w:top w:type="dxa" w:w="70"/>
              <w:left w:type="dxa" w:w="90"/>
              <w:bottom w:type="dxa" w:w="70"/>
              <w:right w:type="dxa" w:w="90"/>
            </w:tcMar>
            <w:vAlign w:val="top"/>
          </w:tcPr>
          <w:p>
            <w:r>
              <w:rPr>
                <w:b w:val="false"/>
                <w:bCs w:val="false"/>
                <w:color w:val="000000"/>
                <w:sz w:val="19"/>
                <w:szCs w:val="19"/>
              </w:rPr>
              <w:t xml:space="preserve">PNRD work assignment</w:t>
            </w:r>
          </w:p>
        </w:tc>
      </w:tr>
      <w:tr>
        <w:tc>
          <w:tcPr>
            <w:tcW w:type="dxa" w:w="4200"/>
            <w:tcMar>
              <w:top w:type="dxa" w:w="70"/>
              <w:left w:type="dxa" w:w="90"/>
              <w:bottom w:type="dxa" w:w="70"/>
              <w:right w:type="dxa" w:w="90"/>
            </w:tcMar>
            <w:vAlign w:val="top"/>
          </w:tcPr>
          <w:p>
            <w:r>
              <w:rPr>
                <w:b w:val="false"/>
                <w:bCs w:val="false"/>
                <w:color w:val="000000"/>
                <w:sz w:val="19"/>
                <w:szCs w:val="19"/>
              </w:rPr>
              <w:t xml:space="preserve">New Sync Functionality for Reports</w:t>
            </w:r>
          </w:p>
        </w:tc>
        <w:tc>
          <w:tcPr>
            <w:tcW w:type="dxa" w:w="2200"/>
            <w:tcMar>
              <w:top w:type="dxa" w:w="70"/>
              <w:left w:type="dxa" w:w="90"/>
              <w:bottom w:type="dxa" w:w="70"/>
              <w:right w:type="dxa" w:w="90"/>
            </w:tcMar>
            <w:vAlign w:val="top"/>
          </w:tcPr>
          <w:p>
            <w:r>
              <w:rPr>
                <w:b w:val="false"/>
                <w:bCs w:val="false"/>
                <w:color w:val="000000"/>
                <w:sz w:val="19"/>
                <w:szCs w:val="19"/>
              </w:rPr>
              <w:t xml:space="preserve">V1.0</w:t>
            </w:r>
          </w:p>
        </w:tc>
        <w:tc>
          <w:tcPr>
            <w:tcW w:type="dxa" w:w="3160"/>
            <w:tcMar>
              <w:top w:type="dxa" w:w="70"/>
              <w:left w:type="dxa" w:w="90"/>
              <w:bottom w:type="dxa" w:w="70"/>
              <w:right w:type="dxa" w:w="90"/>
            </w:tcMar>
            <w:vAlign w:val="top"/>
          </w:tcPr>
          <w:p>
            <w:r>
              <w:rPr>
                <w:b w:val="false"/>
                <w:bCs w:val="false"/>
                <w:color w:val="000000"/>
                <w:sz w:val="19"/>
                <w:szCs w:val="19"/>
              </w:rPr>
              <w:t xml:space="preserve">Sync Data step-by-step</w:t>
            </w:r>
          </w:p>
        </w:tc>
      </w:tr>
      <w:tr>
        <w:tc>
          <w:tcPr>
            <w:tcW w:type="dxa" w:w="4200"/>
            <w:tcMar>
              <w:top w:type="dxa" w:w="70"/>
              <w:left w:type="dxa" w:w="90"/>
              <w:bottom w:type="dxa" w:w="70"/>
              <w:right w:type="dxa" w:w="90"/>
            </w:tcMar>
            <w:vAlign w:val="top"/>
          </w:tcPr>
          <w:p>
            <w:r>
              <w:rPr>
                <w:b w:val="false"/>
                <w:bCs w:val="false"/>
                <w:color w:val="000000"/>
                <w:sz w:val="19"/>
                <w:szCs w:val="19"/>
              </w:rPr>
              <w:t xml:space="preserve">Asset Survey User Manual (EN/HI)</w:t>
            </w:r>
          </w:p>
        </w:tc>
        <w:tc>
          <w:tcPr>
            <w:tcW w:type="dxa" w:w="2200"/>
            <w:tcMar>
              <w:top w:type="dxa" w:w="70"/>
              <w:left w:type="dxa" w:w="90"/>
              <w:bottom w:type="dxa" w:w="70"/>
              <w:right w:type="dxa" w:w="90"/>
            </w:tcMar>
            <w:vAlign w:val="top"/>
          </w:tcPr>
          <w:p>
            <w:r>
              <w:rPr>
                <w:b w:val="false"/>
                <w:bCs w:val="false"/>
                <w:color w:val="000000"/>
                <w:sz w:val="19"/>
                <w:szCs w:val="19"/>
              </w:rPr>
              <w:t xml:space="preserve">V1.2, 24-Jul-2026</w:t>
            </w:r>
          </w:p>
        </w:tc>
        <w:tc>
          <w:tcPr>
            <w:tcW w:type="dxa" w:w="3160"/>
            <w:tcMar>
              <w:top w:type="dxa" w:w="70"/>
              <w:left w:type="dxa" w:w="90"/>
              <w:bottom w:type="dxa" w:w="70"/>
              <w:right w:type="dxa" w:w="90"/>
            </w:tcMar>
            <w:vAlign w:val="top"/>
          </w:tcPr>
          <w:p>
            <w:r>
              <w:rPr>
                <w:b w:val="false"/>
                <w:bCs w:val="false"/>
                <w:color w:val="000000"/>
                <w:sz w:val="19"/>
                <w:szCs w:val="19"/>
              </w:rPr>
              <w:t xml:space="preserve">Asset lifecycle (PHED etc.)</w:t>
            </w:r>
          </w:p>
        </w:tc>
      </w:tr>
      <w:tr>
        <w:tc>
          <w:tcPr>
            <w:tcW w:type="dxa" w:w="4200"/>
            <w:tcMar>
              <w:top w:type="dxa" w:w="70"/>
              <w:left w:type="dxa" w:w="90"/>
              <w:bottom w:type="dxa" w:w="70"/>
              <w:right w:type="dxa" w:w="90"/>
            </w:tcMar>
            <w:vAlign w:val="top"/>
          </w:tcPr>
          <w:p>
            <w:r>
              <w:rPr>
                <w:b w:val="false"/>
                <w:bCs w:val="false"/>
                <w:color w:val="000000"/>
                <w:sz w:val="19"/>
                <w:szCs w:val="19"/>
              </w:rPr>
              <w:t xml:space="preserve">Sagar Collectorate Circular — CM Jan Vishwas Abhiyaan</w:t>
            </w:r>
          </w:p>
        </w:tc>
        <w:tc>
          <w:tcPr>
            <w:tcW w:type="dxa" w:w="2200"/>
            <w:tcMar>
              <w:top w:type="dxa" w:w="70"/>
              <w:left w:type="dxa" w:w="90"/>
              <w:bottom w:type="dxa" w:w="70"/>
              <w:right w:type="dxa" w:w="90"/>
            </w:tcMar>
            <w:vAlign w:val="top"/>
          </w:tcPr>
          <w:p>
            <w:r>
              <w:rPr>
                <w:b w:val="false"/>
                <w:bCs w:val="false"/>
                <w:color w:val="000000"/>
                <w:sz w:val="19"/>
                <w:szCs w:val="19"/>
              </w:rPr>
              <w:t xml:space="preserve">Aug-2026</w:t>
            </w:r>
          </w:p>
        </w:tc>
        <w:tc>
          <w:tcPr>
            <w:tcW w:type="dxa" w:w="3160"/>
            <w:tcMar>
              <w:top w:type="dxa" w:w="70"/>
              <w:left w:type="dxa" w:w="90"/>
              <w:bottom w:type="dxa" w:w="70"/>
              <w:right w:type="dxa" w:w="90"/>
            </w:tcMar>
            <w:vAlign w:val="top"/>
          </w:tcPr>
          <w:p>
            <w:r>
              <w:rPr>
                <w:b w:val="false"/>
                <w:bCs w:val="false"/>
                <w:color w:val="000000"/>
                <w:sz w:val="19"/>
                <w:szCs w:val="19"/>
              </w:rPr>
              <w:t xml:space="preserve">Mandated app-usage directive</w:t>
            </w:r>
          </w:p>
        </w:tc>
      </w:tr>
      <w:tr>
        <w:tc>
          <w:tcPr>
            <w:tcW w:type="dxa" w:w="4200"/>
            <w:tcMar>
              <w:top w:type="dxa" w:w="70"/>
              <w:left w:type="dxa" w:w="90"/>
              <w:bottom w:type="dxa" w:w="70"/>
              <w:right w:type="dxa" w:w="90"/>
            </w:tcMar>
            <w:vAlign w:val="top"/>
          </w:tcPr>
          <w:p>
            <w:r>
              <w:rPr>
                <w:b w:val="false"/>
                <w:bCs w:val="false"/>
                <w:color w:val="000000"/>
                <w:sz w:val="19"/>
                <w:szCs w:val="19"/>
              </w:rPr>
              <w:t xml:space="preserve">Nirikshan Table Column Changes — Old vs New</w:t>
            </w:r>
          </w:p>
        </w:tc>
        <w:tc>
          <w:tcPr>
            <w:tcW w:type="dxa" w:w="2200"/>
            <w:tcMar>
              <w:top w:type="dxa" w:w="70"/>
              <w:left w:type="dxa" w:w="90"/>
              <w:bottom w:type="dxa" w:w="70"/>
              <w:right w:type="dxa" w:w="90"/>
            </w:tcMar>
            <w:vAlign w:val="top"/>
          </w:tcPr>
          <w:p>
            <w:r>
              <w:rPr>
                <w:b w:val="false"/>
                <w:bCs w:val="false"/>
                <w:color w:val="000000"/>
                <w:sz w:val="19"/>
                <w:szCs w:val="19"/>
              </w:rPr>
              <w:t xml:space="preserve">23-Jul-2026</w:t>
            </w:r>
          </w:p>
        </w:tc>
        <w:tc>
          <w:tcPr>
            <w:tcW w:type="dxa" w:w="3160"/>
            <w:tcMar>
              <w:top w:type="dxa" w:w="70"/>
              <w:left w:type="dxa" w:w="90"/>
              <w:bottom w:type="dxa" w:w="70"/>
              <w:right w:type="dxa" w:w="90"/>
            </w:tcMar>
            <w:vAlign w:val="top"/>
          </w:tcPr>
          <w:p>
            <w:r>
              <w:rPr>
                <w:b w:val="false"/>
                <w:bCs w:val="false"/>
                <w:color w:val="000000"/>
                <w:sz w:val="19"/>
                <w:szCs w:val="19"/>
              </w:rPr>
              <w:t xml:space="preserve">Cooperative form field change log</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User Story Register v2</w:t>
            </w:r>
          </w:p>
        </w:tc>
        <w:tc>
          <w:tcPr>
            <w:tcW w:type="dxa" w:w="2200"/>
            <w:tcMar>
              <w:top w:type="dxa" w:w="70"/>
              <w:left w:type="dxa" w:w="90"/>
              <w:bottom w:type="dxa" w:w="70"/>
              <w:right w:type="dxa" w:w="90"/>
            </w:tcMar>
            <w:vAlign w:val="top"/>
          </w:tcPr>
          <w:p>
            <w:r>
              <w:rPr>
                <w:b w:val="false"/>
                <w:bCs w:val="false"/>
                <w:color w:val="000000"/>
                <w:sz w:val="19"/>
                <w:szCs w:val="19"/>
              </w:rPr>
              <w:t xml:space="preserve">18-Aug-2026</w:t>
            </w:r>
          </w:p>
        </w:tc>
        <w:tc>
          <w:tcPr>
            <w:tcW w:type="dxa" w:w="3160"/>
            <w:tcMar>
              <w:top w:type="dxa" w:w="70"/>
              <w:left w:type="dxa" w:w="90"/>
              <w:bottom w:type="dxa" w:w="70"/>
              <w:right w:type="dxa" w:w="90"/>
            </w:tcMar>
            <w:vAlign w:val="top"/>
          </w:tcPr>
          <w:p>
            <w:r>
              <w:rPr>
                <w:b w:val="false"/>
                <w:bCs w:val="false"/>
                <w:color w:val="000000"/>
                <w:sz w:val="19"/>
                <w:szCs w:val="19"/>
              </w:rPr>
              <w:t xml:space="preserve">Delivery backlog, estimation</w:t>
            </w:r>
          </w:p>
        </w:tc>
      </w:tr>
      <w:tr>
        <w:tc>
          <w:tcPr>
            <w:tcW w:type="dxa" w:w="4200"/>
            <w:tcMar>
              <w:top w:type="dxa" w:w="70"/>
              <w:left w:type="dxa" w:w="90"/>
              <w:bottom w:type="dxa" w:w="70"/>
              <w:right w:type="dxa" w:w="90"/>
            </w:tcMar>
            <w:vAlign w:val="top"/>
          </w:tcPr>
          <w:p>
            <w:r>
              <w:rPr>
                <w:b w:val="false"/>
                <w:bCs w:val="false"/>
                <w:color w:val="000000"/>
                <w:sz w:val="19"/>
                <w:szCs w:val="19"/>
              </w:rPr>
              <w:t xml:space="preserve">District GIS Parakh DOU</w:t>
            </w:r>
          </w:p>
        </w:tc>
        <w:tc>
          <w:tcPr>
            <w:tcW w:type="dxa" w:w="2200"/>
            <w:tcMar>
              <w:top w:type="dxa" w:w="70"/>
              <w:left w:type="dxa" w:w="90"/>
              <w:bottom w:type="dxa" w:w="70"/>
              <w:right w:type="dxa" w:w="90"/>
            </w:tcMar>
            <w:vAlign w:val="top"/>
          </w:tcPr>
          <w:p>
            <w:r>
              <w:rPr>
                <w:b w:val="false"/>
                <w:bCs w:val="false"/>
                <w:color w:val="000000"/>
                <w:sz w:val="19"/>
                <w:szCs w:val="19"/>
              </w:rPr>
              <w:t xml:space="preserve">18-Aug-2026</w:t>
            </w:r>
          </w:p>
        </w:tc>
        <w:tc>
          <w:tcPr>
            <w:tcW w:type="dxa" w:w="3160"/>
            <w:tcMar>
              <w:top w:type="dxa" w:w="70"/>
              <w:left w:type="dxa" w:w="90"/>
              <w:bottom w:type="dxa" w:w="70"/>
              <w:right w:type="dxa" w:w="90"/>
            </w:tcMar>
            <w:vAlign w:val="top"/>
          </w:tcPr>
          <w:p>
            <w:r>
              <w:rPr>
                <w:b w:val="false"/>
                <w:bCs w:val="false"/>
                <w:color w:val="000000"/>
                <w:sz w:val="19"/>
                <w:szCs w:val="19"/>
              </w:rPr>
              <w:t xml:space="preserve">Estimation/classification methodology</w:t>
            </w:r>
          </w:p>
        </w:tc>
      </w:tr>
    </w:tbl>
    <w:p>
      <w:pPr>
        <w:pStyle w:val="Heading1"/>
        <w:spacing w:after="140" w:before="320"/>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74B5" w:val="clear"/>
            <w:tcMar>
              <w:top w:type="dxa" w:w="70"/>
              <w:left w:type="dxa" w:w="90"/>
              <w:bottom w:type="dxa" w:w="70"/>
              <w:right w:type="dxa" w:w="90"/>
            </w:tcMar>
            <w:vAlign w:val="top"/>
          </w:tcPr>
          <w:p>
            <w:r>
              <w:rPr>
                <w:b/>
                <w:bCs/>
                <w:color w:val="FFFFFF"/>
                <w:sz w:val="19"/>
                <w:szCs w:val="19"/>
              </w:rPr>
              <w:t xml:space="preserve">Role</w:t>
            </w:r>
          </w:p>
        </w:tc>
        <w:tc>
          <w:tcPr>
            <w:tcW w:type="dxa" w:w="3120"/>
            <w:shd w:fill="2E74B5" w:val="clear"/>
            <w:tcMar>
              <w:top w:type="dxa" w:w="70"/>
              <w:left w:type="dxa" w:w="90"/>
              <w:bottom w:type="dxa" w:w="70"/>
              <w:right w:type="dxa" w:w="90"/>
            </w:tcMar>
            <w:vAlign w:val="top"/>
          </w:tcPr>
          <w:p>
            <w:r>
              <w:rPr>
                <w:b/>
                <w:bCs/>
                <w:color w:val="FFFFFF"/>
                <w:sz w:val="19"/>
                <w:szCs w:val="19"/>
              </w:rPr>
              <w:t xml:space="preserve">Name</w:t>
            </w:r>
          </w:p>
        </w:tc>
        <w:tc>
          <w:tcPr>
            <w:tcW w:type="dxa" w:w="3120"/>
            <w:shd w:fill="2E74B5" w:val="clear"/>
            <w:tcMar>
              <w:top w:type="dxa" w:w="70"/>
              <w:left w:type="dxa" w:w="90"/>
              <w:bottom w:type="dxa" w:w="70"/>
              <w:right w:type="dxa" w:w="90"/>
            </w:tcMar>
            <w:vAlign w:val="top"/>
          </w:tcPr>
          <w:p>
            <w:r>
              <w:rPr>
                <w:b/>
                <w:bCs/>
                <w:color w:val="FFFFFF"/>
                <w:sz w:val="19"/>
                <w:szCs w:val="19"/>
              </w:rPr>
              <w:t xml:space="preserve">Signature / Date</w:t>
            </w:r>
          </w:p>
        </w:tc>
      </w:tr>
      <w:tr>
        <w:tc>
          <w:tcPr>
            <w:tcW w:type="dxa" w:w="3120"/>
            <w:tcMar>
              <w:top w:type="dxa" w:w="70"/>
              <w:left w:type="dxa" w:w="90"/>
              <w:bottom w:type="dxa" w:w="70"/>
              <w:right w:type="dxa" w:w="90"/>
            </w:tcMar>
            <w:vAlign w:val="top"/>
          </w:tcPr>
          <w:p>
            <w:r>
              <w:rPr>
                <w:b w:val="false"/>
                <w:bCs w:val="false"/>
                <w:color w:val="000000"/>
                <w:sz w:val="19"/>
                <w:szCs w:val="19"/>
              </w:rPr>
              <w:t xml:space="preserve">Prepared by</w:t>
            </w:r>
          </w:p>
        </w:tc>
        <w:tc>
          <w:tcPr>
            <w:tcW w:type="dxa" w:w="3120"/>
            <w:tcMar>
              <w:top w:type="dxa" w:w="70"/>
              <w:left w:type="dxa" w:w="90"/>
              <w:bottom w:type="dxa" w:w="70"/>
              <w:right w:type="dxa" w:w="90"/>
            </w:tcMar>
            <w:vAlign w:val="top"/>
          </w:tcPr>
          <w:p>
            <w:r>
              <w:rPr>
                <w:b w:val="false"/>
                <w:bCs w:val="false"/>
                <w:color w:val="000000"/>
                <w:sz w:val="19"/>
                <w:szCs w:val="19"/>
              </w:rPr>
              <w:t xml:space="preserve">Dheeraj, Senior Business Analyst, MPSeDC (MPSSDI)</w:t>
            </w:r>
          </w:p>
        </w:tc>
        <w:tc>
          <w:tcPr>
            <w:tcW w:type="dxa" w:w="3120"/>
            <w:tcMar>
              <w:top w:type="dxa" w:w="70"/>
              <w:left w:type="dxa" w:w="90"/>
              <w:bottom w:type="dxa" w:w="70"/>
              <w:right w:type="dxa" w:w="90"/>
            </w:tcMar>
            <w:vAlign w:val="top"/>
          </w:tcPr>
          <w:p>
            <w:r>
              <w:rPr>
                <w:b w:val="false"/>
                <w:bCs w:val="false"/>
                <w:color w:val="000000"/>
                <w:sz w:val="19"/>
                <w:szCs w:val="19"/>
              </w:rPr>
              <w:t xml:space="preserve"/>
            </w:r>
          </w:p>
        </w:tc>
      </w:tr>
      <w:tr>
        <w:tc>
          <w:tcPr>
            <w:tcW w:type="dxa" w:w="3120"/>
            <w:tcMar>
              <w:top w:type="dxa" w:w="70"/>
              <w:left w:type="dxa" w:w="90"/>
              <w:bottom w:type="dxa" w:w="70"/>
              <w:right w:type="dxa" w:w="90"/>
            </w:tcMar>
            <w:vAlign w:val="top"/>
          </w:tcPr>
          <w:p>
            <w:r>
              <w:rPr>
                <w:b w:val="false"/>
                <w:bCs w:val="false"/>
                <w:color w:val="000000"/>
                <w:sz w:val="19"/>
                <w:szCs w:val="19"/>
              </w:rPr>
              <w:t xml:space="preserve">Reviewed by</w:t>
            </w:r>
          </w:p>
        </w:tc>
        <w:tc>
          <w:tcPr>
            <w:tcW w:type="dxa" w:w="3120"/>
            <w:tcMar>
              <w:top w:type="dxa" w:w="70"/>
              <w:left w:type="dxa" w:w="90"/>
              <w:bottom w:type="dxa" w:w="70"/>
              <w:right w:type="dxa" w:w="90"/>
            </w:tcMar>
            <w:vAlign w:val="top"/>
          </w:tcPr>
          <w:p>
            <w:r>
              <w:rPr>
                <w:b w:val="false"/>
                <w:bCs w:val="false"/>
                <w:color w:val="000000"/>
                <w:sz w:val="19"/>
                <w:szCs w:val="19"/>
              </w:rPr>
              <w:t xml:space="preserve"/>
            </w:r>
          </w:p>
        </w:tc>
        <w:tc>
          <w:tcPr>
            <w:tcW w:type="dxa" w:w="3120"/>
            <w:tcMar>
              <w:top w:type="dxa" w:w="70"/>
              <w:left w:type="dxa" w:w="90"/>
              <w:bottom w:type="dxa" w:w="70"/>
              <w:right w:type="dxa" w:w="90"/>
            </w:tcMar>
            <w:vAlign w:val="top"/>
          </w:tcPr>
          <w:p>
            <w:r>
              <w:rPr>
                <w:b w:val="false"/>
                <w:bCs w:val="false"/>
                <w:color w:val="000000"/>
                <w:sz w:val="19"/>
                <w:szCs w:val="19"/>
              </w:rPr>
              <w:t xml:space="preserve"/>
            </w:r>
          </w:p>
        </w:tc>
      </w:tr>
      <w:tr>
        <w:tc>
          <w:tcPr>
            <w:tcW w:type="dxa" w:w="3120"/>
            <w:tcMar>
              <w:top w:type="dxa" w:w="70"/>
              <w:left w:type="dxa" w:w="90"/>
              <w:bottom w:type="dxa" w:w="70"/>
              <w:right w:type="dxa" w:w="90"/>
            </w:tcMar>
            <w:vAlign w:val="top"/>
          </w:tcPr>
          <w:p>
            <w:r>
              <w:rPr>
                <w:b w:val="false"/>
                <w:bCs w:val="false"/>
                <w:color w:val="000000"/>
                <w:sz w:val="19"/>
                <w:szCs w:val="19"/>
              </w:rPr>
              <w:t xml:space="preserve">Approved by</w:t>
            </w:r>
          </w:p>
        </w:tc>
        <w:tc>
          <w:tcPr>
            <w:tcW w:type="dxa" w:w="3120"/>
            <w:tcMar>
              <w:top w:type="dxa" w:w="70"/>
              <w:left w:type="dxa" w:w="90"/>
              <w:bottom w:type="dxa" w:w="70"/>
              <w:right w:type="dxa" w:w="90"/>
            </w:tcMar>
            <w:vAlign w:val="top"/>
          </w:tcPr>
          <w:p>
            <w:r>
              <w:rPr>
                <w:b w:val="false"/>
                <w:bCs w:val="false"/>
                <w:color w:val="000000"/>
                <w:sz w:val="19"/>
                <w:szCs w:val="19"/>
              </w:rPr>
              <w:t xml:space="preserve">Dr. Rakesh Dubey, Head, MPSSDI</w:t>
            </w:r>
          </w:p>
        </w:tc>
        <w:tc>
          <w:tcPr>
            <w:tcW w:type="dxa" w:w="3120"/>
            <w:tcMar>
              <w:top w:type="dxa" w:w="70"/>
              <w:left w:type="dxa" w:w="90"/>
              <w:bottom w:type="dxa" w:w="70"/>
              <w:right w:type="dxa" w:w="90"/>
            </w:tcMar>
            <w:vAlign w:val="top"/>
          </w:tcPr>
          <w:p>
            <w:r>
              <w:rPr>
                <w:b w:val="false"/>
                <w:bCs w:val="false"/>
                <w:color w:val="000000"/>
                <w:sz w:val="19"/>
                <w:szCs w:val="19"/>
              </w:rPr>
              <w:t xml:space="preserve"/>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2026-08-19T11:18:47.647Z</dcterms:created>
  <dcterms:modified xsi:type="dcterms:W3CDTF">2026-08-19T11:18:47.663Z</dcterms:modified>
</cp:coreProperties>
</file>

<file path=docProps/custom.xml><?xml version="1.0" encoding="utf-8"?>
<Properties xmlns="http://schemas.openxmlformats.org/officeDocument/2006/custom-properties" xmlns:vt="http://schemas.openxmlformats.org/officeDocument/2006/docPropsVTypes"/>
</file>