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32.png" ContentType="image/png"/>
  <Override PartName="/word/media/rId36.png" ContentType="image/png"/>
  <Override PartName="/word/media/rId42.png" ContentType="image/png"/>
  <Override PartName="/word/media/rId45.png" ContentType="image/png"/>
  <Override PartName="/word/media/rId49.png" ContentType="image/png"/>
  <Override PartName="/word/media/rId53.png" ContentType="image/png"/>
  <Override PartName="/word/media/rId57.png" ContentType="image/png"/>
  <Override PartName="/word/media/rId64.png" ContentType="image/png"/>
  <Override PartName="/word/media/rId70.png" ContentType="image/png"/>
  <Override PartName="/word/media/rId74.png" ContentType="image/png"/>
  <Override PartName="/word/media/rId78.png" ContentType="image/png"/>
  <Override PartName="/word/media/rId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X4b31725117da1bb2774e880f3046dafff3f1cab"/>
    <w:p>
      <w:pPr>
        <w:pStyle w:val="Heading1"/>
      </w:pPr>
      <w:r>
        <w:t xml:space="preserve">Temporal Link Prediction in Network Security Telemetry: Evaluating Graph Dynamics, Heuristic Baselines, and Negative Sampling Regimes</w:t>
      </w:r>
    </w:p>
    <w:p>
      <w:pPr>
        <w:pStyle w:val="FirstParagraph"/>
      </w:pPr>
      <w:r>
        <w:rPr>
          <w:b/>
          <w:bCs/>
        </w:rPr>
        <w:t xml:space="preserve">Dheeraj Kovoord</w:t>
      </w:r>
      <m:oMath>
        <m:sSup>
          <m:e>
            <m:r>
              <m:t>​</m:t>
            </m:r>
          </m:e>
          <m:sup>
            <m:r>
              <m:t>a</m:t>
            </m:r>
            <m:r>
              <m:rPr>
                <m:sty m:val="p"/>
              </m:rPr>
              <m:t>,</m:t>
            </m:r>
            <m:r>
              <m:rPr>
                <m:sty m:val="p"/>
              </m:rPr>
              <m:t>*</m:t>
            </m:r>
          </m:sup>
        </m:sSup>
      </m:oMath>
      <w:r>
        <w:t xml:space="preserve">,</w:t>
      </w:r>
      <w:r>
        <w:t xml:space="preserve"> </w:t>
      </w:r>
      <w:r>
        <w:rPr>
          <w:b/>
          <w:bCs/>
        </w:rPr>
        <w:t xml:space="preserve">Research Team</w:t>
      </w:r>
      <m:oMath>
        <m:sSup>
          <m:e>
            <m:r>
              <m:t>​</m:t>
            </m:r>
          </m:e>
          <m:sup>
            <m:r>
              <m:t>a</m:t>
            </m:r>
          </m:sup>
        </m:sSup>
      </m:oMath>
      <w:r>
        <w:br/>
      </w:r>
      <m:oMath>
        <m:sSup>
          <m:e>
            <m:r>
              <m:t>​</m:t>
            </m:r>
          </m:e>
          <m:sup>
            <m:r>
              <m:t>a</m:t>
            </m:r>
          </m:sup>
        </m:sSup>
      </m:oMath>
      <w:r>
        <w:t xml:space="preserve"> </w:t>
      </w:r>
      <w:r>
        <w:rPr>
          <w:i/>
          <w:iCs/>
        </w:rPr>
        <w:t xml:space="preserve">Department of Computer Science and Engineering, National Institute of Technology Karnataka, Surathkal, India</w:t>
      </w:r>
      <w:r>
        <w:br/>
      </w:r>
      <m:oMath>
        <m:sSup>
          <m:e>
            <m:r>
              <m:t>​</m:t>
            </m:r>
          </m:e>
          <m:sup>
            <m:r>
              <m:rPr>
                <m:sty m:val="p"/>
              </m:rPr>
              <m:t>*</m:t>
            </m:r>
          </m:sup>
        </m:sSup>
      </m:oMath>
      <w:r>
        <w:t xml:space="preserve"> </w:t>
      </w:r>
      <w:r>
        <w:rPr>
          <w:i/>
          <w:iCs/>
        </w:rPr>
        <w:t xml:space="preserve">Corresponding author. Email: dheeraj.kovoord@example.edu</w:t>
      </w:r>
    </w:p>
    <w:p>
      <w:r>
        <w:pict>
          <v:rect style="width:0;height:1.5pt" o:hralign="center" o:hrstd="t" o:hr="t"/>
        </w:pict>
      </w:r>
    </w:p>
    <w:bookmarkStart w:id="9" w:name="highlights"/>
    <w:p>
      <w:pPr>
        <w:pStyle w:val="Heading2"/>
      </w:pPr>
      <w:r>
        <w:t xml:space="preserve">Highlights</w:t>
      </w:r>
    </w:p>
    <w:p>
      <w:pPr>
        <w:pStyle w:val="Compact"/>
        <w:numPr>
          <w:ilvl w:val="0"/>
          <w:numId w:val="1001"/>
        </w:numPr>
      </w:pPr>
      <w:r>
        <w:t xml:space="preserve">Multi-scale temporal graph dynamics are quantified across 69.1 million enterprise flows (APEX-IDS2026) and cyber-range telemetry (CIC-IDS2017).</w:t>
      </w:r>
    </w:p>
    <w:p>
      <w:pPr>
        <w:pStyle w:val="Compact"/>
        <w:numPr>
          <w:ilvl w:val="0"/>
          <w:numId w:val="1001"/>
        </w:numPr>
      </w:pPr>
      <w:r>
        <w:t xml:space="preserve">CIC-IDS2017 exhibits higher measured daily edge novelty (68.09%) and symmetric turnover (81.61% Jaccard) than continuous enterprise telemetry (56.25% novelty, 72.71% turnover), countering the assumption of topological stasis.</w:t>
      </w:r>
    </w:p>
    <w:p>
      <w:pPr>
        <w:pStyle w:val="Compact"/>
        <w:numPr>
          <w:ilvl w:val="0"/>
          <w:numId w:val="1001"/>
        </w:numPr>
      </w:pPr>
      <w:r>
        <w:t xml:space="preserve">Uniform random negative sampling inflates the precision of historical memory heuristics to</w:t>
      </w:r>
      <w:r>
        <w:t xml:space="preserve"> </w:t>
      </w:r>
      <m:oMath>
        <m:r>
          <m:rPr>
            <m:sty m:val="p"/>
          </m:rPr>
          <m:t>≥</m:t>
        </m:r>
        <m:r>
          <m:t>99.8</m:t>
        </m:r>
        <m:r>
          <m:rPr>
            <m:sty m:val="p"/>
          </m:rPr>
          <m:t>%</m:t>
        </m:r>
      </m:oMath>
      <w:r>
        <w:t xml:space="preserve">, whereas hard historical negatives expose severe precision collapse (</w:t>
      </w:r>
      <m:oMath>
        <m:r>
          <m:t>34.43</m:t>
        </m:r>
        <m:r>
          <m:rPr>
            <m:sty m:val="p"/>
          </m:rPr>
          <m:t>%</m:t>
        </m:r>
      </m:oMath>
      <w:r>
        <w:t xml:space="preserve"> </w:t>
      </w:r>
      <w:r>
        <w:t xml:space="preserve">for unbounded memory).</w:t>
      </w:r>
    </w:p>
    <w:p>
      <w:pPr>
        <w:pStyle w:val="Compact"/>
        <w:numPr>
          <w:ilvl w:val="0"/>
          <w:numId w:val="1001"/>
        </w:numPr>
      </w:pPr>
      <w:r>
        <w:t xml:space="preserve">Under high-churn conditions, sliding-window memory (EdgeBank-tw,</w:t>
      </w:r>
      <w:r>
        <w:t xml:space="preserve"> </w:t>
      </w:r>
      <m:oMath>
        <m:r>
          <m:t>W</m:t>
        </m:r>
        <m:r>
          <m:rPr>
            <m:sty m:val="p"/>
          </m:rPr>
          <m:t>=</m:t>
        </m:r>
        <m:r>
          <m:t>2</m:t>
        </m:r>
      </m:oMath>
      <w:r>
        <w:t xml:space="preserve">) achieves 69.78% F1 on APEX, while Common Neighbors achieves 45.24% F1 on CIC, outperforming adapted recurrent GCN models.</w:t>
      </w:r>
    </w:p>
    <w:p>
      <w:pPr>
        <w:pStyle w:val="Compact"/>
        <w:numPr>
          <w:ilvl w:val="0"/>
          <w:numId w:val="1001"/>
        </w:numPr>
      </w:pPr>
      <w:r>
        <w:t xml:space="preserve">Diagnostic instrumentation of adapted EvolveGCN-H reveals severe training instability, where unconstrained optimization drives pre-sigmoid logits into saturation regimes associated with degenerate all-zero or all-one predictions.</w:t>
      </w:r>
    </w:p>
    <w:p>
      <w:r>
        <w:pict>
          <v:rect style="width:0;height:1.5pt" o:hralign="center" o:hrstd="t" o:hr="t"/>
        </w:pict>
      </w:r>
    </w:p>
    <w:bookmarkEnd w:id="9"/>
    <w:bookmarkStart w:id="10" w:name="abstract"/>
    <w:p>
      <w:pPr>
        <w:pStyle w:val="Heading2"/>
      </w:pPr>
      <w:r>
        <w:t xml:space="preserve">Abstract</w:t>
      </w:r>
    </w:p>
    <w:p>
      <w:pPr>
        <w:pStyle w:val="FirstParagraph"/>
      </w:pPr>
      <w:r>
        <w:t xml:space="preserve">Temporal graph representations of network telemetry promise to capture structural communication dynamics that flow-level classifiers overlook. However, evaluating temporal link prediction in network security entails methodological pitfalls that risk producing illusory performance claims. In this study, we empirically investigate temporal link prediction and multi-scale graph dynamics across two distinct network security datasets:</w:t>
      </w:r>
      <w:r>
        <w:t xml:space="preserve"> </w:t>
      </w:r>
      <w:r>
        <w:rPr>
          <w:b/>
          <w:bCs/>
        </w:rPr>
        <w:t xml:space="preserve">APEX-IDS2026</w:t>
      </w:r>
      <w:r>
        <w:t xml:space="preserve"> </w:t>
      </w:r>
      <w:r>
        <w:t xml:space="preserve">(a 44-day continuous hybrid-cloud telemetry stream comprising 69.1 million flows with cryptographically verified Zenodo archive checksums) and</w:t>
      </w:r>
      <w:r>
        <w:t xml:space="preserve"> </w:t>
      </w:r>
      <w:r>
        <w:rPr>
          <w:b/>
          <w:bCs/>
        </w:rPr>
        <w:t xml:space="preserve">CIC-IDS2017</w:t>
      </w:r>
      <w:r>
        <w:t xml:space="preserve"> </w:t>
      </w:r>
      <w:r>
        <w:t xml:space="preserve">(a 5-day laboratory cyber-range testbed evaluated on its single chronological daily test transition from Day 3 to Day 4). First, we compute multi-scale graph dynamics across six dataset-window configurations spanning four temporal window scales (1-hour, 6-hour, 12-hour, and 24-hour windows) and discover that CIC-IDS2017 exhibits higher measured daily edge novelty (68.09% vs. 56.25%) and symmetric turnover (81.61% vs. 72.71% Jaccard distance) than APEX-IDS2026, countering the prior assumption that this cyber-range testbed capture is topologically static. Second, we systematically compare two evaluation protocols:</w:t>
      </w:r>
      <w:r>
        <w:t xml:space="preserve"> </w:t>
      </w:r>
      <w:r>
        <w:rPr>
          <w:b/>
          <w:bCs/>
        </w:rPr>
        <w:t xml:space="preserve">Setting A (Hard Historical Negatives)</w:t>
      </w:r>
      <w:r>
        <w:t xml:space="preserve">, which evaluates edges observed in earlier telemetry that became inactive, and</w:t>
      </w:r>
      <w:r>
        <w:t xml:space="preserve"> </w:t>
      </w:r>
      <w:r>
        <w:rPr>
          <w:b/>
          <w:bCs/>
        </w:rPr>
        <w:t xml:space="preserve">Setting B (Mixed Random Negatives)</w:t>
      </w:r>
      <w:r>
        <w:t xml:space="preserve">, which samples non-edges uniformly from active-node pairs (</w:t>
      </w:r>
      <m:oMath>
        <m:sSub>
          <m:e>
            <m:r>
              <m:t>V</m:t>
            </m:r>
          </m:e>
          <m:sub>
            <m:r>
              <m:t>t</m:t>
            </m:r>
          </m:sub>
        </m:sSub>
        <m:r>
          <m:rPr>
            <m:sty m:val="p"/>
          </m:rPr>
          <m:t>×</m:t>
        </m:r>
        <m:sSub>
          <m:e>
            <m:r>
              <m:t>V</m:t>
            </m:r>
          </m:e>
          <m:sub>
            <m:r>
              <m:t>t</m:t>
            </m:r>
          </m:sub>
        </m:sSub>
      </m:oMath>
      <w:r>
        <w:t xml:space="preserve">). Across eight evaluated predictors over five fixed random seeds, we demonstrate that random negative sampling inflates the precision of historical memory baselines (Persistence, EdgeBank-binary, EdgeBank-tw) to near-perfection (</w:t>
      </w:r>
      <m:oMath>
        <m:r>
          <m:rPr>
            <m:sty m:val="p"/>
          </m:rPr>
          <m:t>≥</m:t>
        </m:r>
        <m:r>
          <m:t>99.8</m:t>
        </m:r>
        <m:r>
          <m:rPr>
            <m:sty m:val="p"/>
          </m:rPr>
          <m:t>%</m:t>
        </m:r>
      </m:oMath>
      <w:r>
        <w:t xml:space="preserve">), masking critical link-extinction failures: under Setting A, Persistence precision falls to 48.50% on CIC-IDS2017 and 89.74% on APEX-IDS2026, while unbounded memory (EdgeBank-∞) collapses to 34.43% and 47.02% precision—falling below 50% precision on the 1:1 balanced candidate benchmark. Third, under high-churn conditions (CIC-IDS2017 Setting A), Common Neighbors outperforms Persistence (45.24% vs. 35.22% F1), while time-windowed memory (EdgeBank-tw,</w:t>
      </w:r>
      <w:r>
        <w:t xml:space="preserve"> </w:t>
      </w:r>
      <m:oMath>
        <m:r>
          <m:t>W</m:t>
        </m:r>
        <m:r>
          <m:rPr>
            <m:sty m:val="p"/>
          </m:rPr>
          <m:t>=</m:t>
        </m:r>
        <m:r>
          <m:t>2</m:t>
        </m:r>
      </m:oMath>
      <w:r>
        <w:t xml:space="preserve">) achieves the highest F1 (69.78%) on APEX-IDS2026. In addition to thresholded F1, we report continuous threshold-free metrics (ROC-AUC and Average Precision), resolving baseline artifacts such as Jaccard’s threshold-induced zero F1. Finally, we transparently report the training dynamics of EvolveGCN-H on structural degree features, documenting seed sensitivity, optimization instability, and subsequent pre-sigmoid logit saturation associated with degenerate all-zero or all-one outputs without asserting unproven causal links. We emphasize that five seeds on CIC-IDS2017’s daily split measure candidate-sampling and run variability across a single temporal transition rather than generalization across independent test periods. We restrict all conclusions to the evaluated datasets and temporal splits, and provide reproducible, deterministic candidate-sampling and baseline implementations.</w:t>
      </w:r>
    </w:p>
    <w:p>
      <w:pPr>
        <w:pStyle w:val="BodyText"/>
      </w:pPr>
      <w:r>
        <w:rPr>
          <w:b/>
          <w:bCs/>
        </w:rPr>
        <w:t xml:space="preserve">Keywords:</w:t>
      </w:r>
      <w:r>
        <w:t xml:space="preserve"> </w:t>
      </w:r>
      <w:r>
        <w:t xml:space="preserve">Temporal Link Prediction; Network Security Telemetry; Dynamic Graphs; Negative Sampling; Heuristic Baselines; EvolveGCN; Graph Dynamics.</w:t>
      </w:r>
    </w:p>
    <w:p>
      <w:r>
        <w:pict>
          <v:rect style="width:0;height:1.5pt" o:hralign="center" o:hrstd="t" o:hr="t"/>
        </w:pict>
      </w:r>
    </w:p>
    <w:bookmarkEnd w:id="10"/>
    <w:bookmarkStart w:id="13" w:name="introduction"/>
    <w:p>
      <w:pPr>
        <w:pStyle w:val="Heading2"/>
      </w:pPr>
      <w:r>
        <w:t xml:space="preserve">1. Introduction</w:t>
      </w:r>
    </w:p>
    <w:p>
      <w:pPr>
        <w:pStyle w:val="FirstParagraph"/>
      </w:pPr>
      <w:r>
        <w:t xml:space="preserve">Intrusion detection systems (IDS) increasingly explore graph-based representations of network telemetry, modeling IP endpoints as nodes and communication sessions as temporal edges. Dynamic graph neural networks (GNNs), such as EvolveGCN, have been proposed to predict future interaction topology and identify anomalous edge formations. However, recent empirical audits in the broader dynamic graph literature have highlighted severe evaluation vulnerabilities: complex temporal GNNs frequently underperform simple memorization heuristics (such as Persistence or EdgeBank) when evaluated under realistic conditions, while flawed negative candidate sampling protocols can artificially flatter model metrics.</w:t>
      </w:r>
    </w:p>
    <w:p>
      <w:pPr>
        <w:pStyle w:val="BodyText"/>
      </w:pPr>
      <w:r>
        <w:t xml:space="preserve">In network security, these pitfalls are magnified by extreme network scale, non-stationary host behavior, and high topological churn. Two critical empirical questions emerge:</w:t>
      </w:r>
      <w:r>
        <w:t xml:space="preserve"> </w:t>
      </w:r>
      <w:r>
        <w:t xml:space="preserve">1.</w:t>
      </w:r>
      <w:r>
        <w:t xml:space="preserve"> </w:t>
      </w:r>
      <w:r>
        <w:rPr>
          <w:b/>
          <w:bCs/>
        </w:rPr>
        <w:t xml:space="preserve">The Negative Sampling Illusion:</w:t>
      </w:r>
      <w:r>
        <w:t xml:space="preserve"> </w:t>
      </w:r>
      <w:r>
        <w:t xml:space="preserve">Does the observed performance of link predictors reflect genuine topological understanding, or is it an artifact of sampling non-edges from a vast, sparse candidate universe where arbitrary endpoint pairs rarely interact?</w:t>
      </w:r>
      <w:r>
        <w:t xml:space="preserve"> </w:t>
      </w:r>
      <w:r>
        <w:t xml:space="preserve">2.</w:t>
      </w:r>
      <w:r>
        <w:t xml:space="preserve"> </w:t>
      </w:r>
      <w:r>
        <w:rPr>
          <w:b/>
          <w:bCs/>
        </w:rPr>
        <w:t xml:space="preserve">Topological Dynamics vs. Memory:</w:t>
      </w:r>
      <w:r>
        <w:t xml:space="preserve"> </w:t>
      </w:r>
      <w:r>
        <w:t xml:space="preserve">How does the rate of structural churn across time scales affect the viability of temporal heuristic baselines versus structural graph features?</w:t>
      </w:r>
    </w:p>
    <w:bookmarkStart w:id="11" w:name="contributions"/>
    <w:p>
      <w:pPr>
        <w:pStyle w:val="Heading3"/>
      </w:pPr>
      <w:r>
        <w:t xml:space="preserve">1.1 Contributions</w:t>
      </w:r>
    </w:p>
    <w:p>
      <w:pPr>
        <w:pStyle w:val="FirstParagraph"/>
      </w:pPr>
      <w:r>
        <w:t xml:space="preserve">In this paper, we conduct a controlled empirical evaluation of temporal link prediction and topological dynamics, making the following contributions:</w:t>
      </w:r>
      <w:r>
        <w:t xml:space="preserve"> </w:t>
      </w:r>
      <w:r>
        <w:t xml:space="preserve">*</w:t>
      </w:r>
      <w:r>
        <w:t xml:space="preserve"> </w:t>
      </w:r>
      <w:r>
        <w:rPr>
          <w:b/>
          <w:bCs/>
        </w:rPr>
        <w:t xml:space="preserve">Multi-Scale Graph Dynamics Audit:</w:t>
      </w:r>
      <w:r>
        <w:t xml:space="preserve"> </w:t>
      </w:r>
      <w:r>
        <w:t xml:space="preserve">We construct chronological snapshot sequences across six dataset-scale configurations spanning four distinct window granularities (24h, 12h, 6h for APEX-IDS2026; 24h, 6h, 1h for CIC-IDS2017). We measure directional edge recurrence and novelty alongside symmetric turnover (canonical Jaccard distance and Dice dissimilarity), establishing that CIC-IDS2017 exhibits higher edge churn than continuous enterprise telemetry, with sub-daily variance driven by diurnal collection pauses.</w:t>
      </w:r>
      <w:r>
        <w:t xml:space="preserve"> </w:t>
      </w:r>
      <w:r>
        <w:t xml:space="preserve">*</w:t>
      </w:r>
      <w:r>
        <w:t xml:space="preserve"> </w:t>
      </w:r>
      <w:r>
        <w:rPr>
          <w:b/>
          <w:bCs/>
        </w:rPr>
        <w:t xml:space="preserve">Separation of Negative Sampling Regimes:</w:t>
      </w:r>
      <w:r>
        <w:t xml:space="preserve"> </w:t>
      </w:r>
      <w:r>
        <w:t xml:space="preserve">We formalize and evaluate two candidate regimes:</w:t>
      </w:r>
      <w:r>
        <w:t xml:space="preserve"> </w:t>
      </w:r>
      <w:r>
        <w:rPr>
          <w:b/>
          <w:bCs/>
        </w:rPr>
        <w:t xml:space="preserve">Setting A (Hard Historical Negatives)</w:t>
      </w:r>
      <w:r>
        <w:t xml:space="preserve">, which strictly tests expired historical communication links (</w:t>
      </w:r>
      <m:oMath>
        <m:sSub>
          <m:e>
            <m:r>
              <m:t>E</m:t>
            </m:r>
          </m:e>
          <m:sub>
            <m:r>
              <m:rPr>
                <m:sty m:val="p"/>
              </m:rPr>
              <m:t>≤</m:t>
            </m:r>
            <m:r>
              <m:t>t</m:t>
            </m:r>
          </m:sub>
        </m:sSub>
        <m:r>
          <m:rPr>
            <m:sty m:val="p"/>
          </m:rPr>
          <m:t>\</m:t>
        </m:r>
        <m:sSub>
          <m:e>
            <m:r>
              <m:t>E</m:t>
            </m:r>
          </m:e>
          <m:sub>
            <m:r>
              <m:t>t</m:t>
            </m:r>
            <m:r>
              <m:rPr>
                <m:sty m:val="p"/>
              </m:rPr>
              <m:t>+</m:t>
            </m:r>
            <m:r>
              <m:t>1</m:t>
            </m:r>
          </m:sub>
        </m:sSub>
      </m:oMath>
      <w:r>
        <w:t xml:space="preserve">), and</w:t>
      </w:r>
      <w:r>
        <w:t xml:space="preserve"> </w:t>
      </w:r>
      <w:r>
        <w:rPr>
          <w:b/>
          <w:bCs/>
        </w:rPr>
        <w:t xml:space="preserve">Setting B (Mixed Random Negatives)</w:t>
      </w:r>
      <w:r>
        <w:t xml:space="preserve">, which evaluates non-edges among active snapshot nodes (</w:t>
      </w:r>
      <m:oMath>
        <m:sSub>
          <m:e>
            <m:r>
              <m:t>V</m:t>
            </m:r>
          </m:e>
          <m:sub>
            <m:r>
              <m:t>t</m:t>
            </m:r>
          </m:sub>
        </m:sSub>
        <m:r>
          <m:rPr>
            <m:sty m:val="p"/>
          </m:rPr>
          <m:t>×</m:t>
        </m:r>
        <m:sSub>
          <m:e>
            <m:r>
              <m:t>V</m:t>
            </m:r>
          </m:e>
          <m:sub>
            <m:r>
              <m:t>t</m:t>
            </m:r>
          </m:sub>
        </m:sSub>
        <m:r>
          <m:rPr>
            <m:sty m:val="p"/>
          </m:rPr>
          <m:t>\</m:t>
        </m:r>
        <m:sSub>
          <m:e>
            <m:r>
              <m:t>E</m:t>
            </m:r>
          </m:e>
          <m:sub>
            <m:r>
              <m:t>t</m:t>
            </m:r>
            <m:r>
              <m:rPr>
                <m:sty m:val="p"/>
              </m:rPr>
              <m:t>+</m:t>
            </m:r>
            <m:r>
              <m:t>1</m:t>
            </m:r>
          </m:sub>
        </m:sSub>
      </m:oMath>
      <w:r>
        <w:t xml:space="preserve">). We show that Setting B produces an illusion of near-100% precision for memory baselines, whereas Setting A exposes substantial precision degradation.</w:t>
      </w:r>
      <w:r>
        <w:t xml:space="preserve"> </w:t>
      </w:r>
      <w:r>
        <w:t xml:space="preserve">*</w:t>
      </w:r>
      <w:r>
        <w:t xml:space="preserve"> </w:t>
      </w:r>
      <w:r>
        <w:rPr>
          <w:b/>
          <w:bCs/>
        </w:rPr>
        <w:t xml:space="preserve">Controlled Five-Seed Benchmark:</w:t>
      </w:r>
      <w:r>
        <w:t xml:space="preserve"> </w:t>
      </w:r>
      <w:r>
        <w:t xml:space="preserve">We evaluate seven heuristic baselines—Persistence, EdgeBank-∞ (binary and frequency), EdgeBank-tw (</w:t>
      </w:r>
      <m:oMath>
        <m:r>
          <m:t>W</m:t>
        </m:r>
        <m:r>
          <m:rPr>
            <m:sty m:val="p"/>
          </m:rPr>
          <m:t>=</m:t>
        </m:r>
        <m:r>
          <m:t>2</m:t>
        </m:r>
      </m:oMath>
      <w:r>
        <w:t xml:space="preserve">, binary), Common Neighbors (directed), Jaccard Coefficient, and Adamic-Adar—alongside EvolveGCN-H across five fixed random seeds (</w:t>
      </w:r>
      <w:r>
        <w:rPr>
          <w:rStyle w:val="VerbatimChar"/>
        </w:rPr>
        <w:t xml:space="preserve">[42, 100, 123, 456, 999]</w:t>
      </w:r>
      <w:r>
        <w:t xml:space="preserve">). Within each seed run, all eight models are evaluated on strictly identical candidate sets without temporal leakage or negative padding, while negative non-edge samples vary across seeds to measure candidate-sampling variability. We report both thresholded classification metrics (F1, precision, recall) and continuous ranking metrics (ROC-AUC and Average Precision).</w:t>
      </w:r>
      <w:r>
        <w:t xml:space="preserve"> </w:t>
      </w:r>
      <w:r>
        <w:t xml:space="preserve">*</w:t>
      </w:r>
      <w:r>
        <w:t xml:space="preserve"> </w:t>
      </w:r>
      <w:r>
        <w:rPr>
          <w:b/>
          <w:bCs/>
        </w:rPr>
        <w:t xml:space="preserve">Transparent GNN Stability Characterization:</w:t>
      </w:r>
      <w:r>
        <w:t xml:space="preserve"> </w:t>
      </w:r>
      <w:r>
        <w:t xml:space="preserve">We document the training dynamics and seed sensitivity of EvolveGCN-H when trained purely on topological features, documenting optimization instability and subsequent logit saturation extremes associated with degenerate all-zero or all-one collapse without asserting an unverified causal mechanism.</w:t>
      </w:r>
      <w:r>
        <w:t xml:space="preserve"> </w:t>
      </w:r>
      <w:r>
        <w:t xml:space="preserve">*</w:t>
      </w:r>
      <w:r>
        <w:t xml:space="preserve"> </w:t>
      </w:r>
      <w:r>
        <w:rPr>
          <w:b/>
          <w:bCs/>
        </w:rPr>
        <w:t xml:space="preserve">Explicit Boundary Delineation:</w:t>
      </w:r>
      <w:r>
        <w:t xml:space="preserve"> </w:t>
      </w:r>
      <w:r>
        <w:t xml:space="preserve">We explicitly state what this work does</w:t>
      </w:r>
      <w:r>
        <w:t xml:space="preserve"> </w:t>
      </w:r>
      <w:r>
        <w:rPr>
          <w:i/>
          <w:iCs/>
        </w:rPr>
        <w:t xml:space="preserve">not</w:t>
      </w:r>
      <w:r>
        <w:t xml:space="preserve"> </w:t>
      </w:r>
      <w:r>
        <w:t xml:space="preserve">claim: we do not claim to reconstruct attack-generating processes counterfactually, we do not claim validated causal defense intervention, and we do not claim that five random seeds capture temporal invariance beyond the observed datasets.</w:t>
      </w:r>
    </w:p>
    <w:bookmarkEnd w:id="11"/>
    <w:bookmarkStart w:id="12" w:name="structure-of-the-paper"/>
    <w:p>
      <w:pPr>
        <w:pStyle w:val="Heading3"/>
      </w:pPr>
      <w:r>
        <w:t xml:space="preserve">1.2 Structure of the Paper</w:t>
      </w:r>
    </w:p>
    <w:p>
      <w:pPr>
        <w:pStyle w:val="FirstParagraph"/>
      </w:pPr>
      <w:r>
        <w:t xml:space="preserve">The remainder of this paper is organized as follows: Section 2 reviews related literature on dynamic graph representation learning, evaluation pitfalls, and security telemetry. Section 3 formalizes the next-snapshot temporal link prediction problem, candidate sampling protocols, baseline models, adapted EvolveGCN-H architecture, and multi-scale graph dynamics metrics. Section 4 describes the datasets, provenance verifications, chronological partitioning, and experimental setup. Section 5 presents the empirical results across graph dynamics, link prediction benchmarks, and recurrent GCN optimization dynamics. Section 6 provides scientific discussion and resolves metric artifacts. Section 7 presents limitations and threats to validity, and Section 8 concludes the paper.</w:t>
      </w:r>
    </w:p>
    <w:p>
      <w:r>
        <w:pict>
          <v:rect style="width:0;height:1.5pt" o:hralign="center" o:hrstd="t" o:hr="t"/>
        </w:pict>
      </w:r>
    </w:p>
    <w:bookmarkEnd w:id="12"/>
    <w:bookmarkEnd w:id="13"/>
    <w:bookmarkStart w:id="17" w:name="related-work"/>
    <w:p>
      <w:pPr>
        <w:pStyle w:val="Heading2"/>
      </w:pPr>
      <w:r>
        <w:t xml:space="preserve">2. Related Work</w:t>
      </w:r>
    </w:p>
    <w:bookmarkStart w:id="14" w:name="Xc69fc31089a014cbb0e9b58408c23b1c221b14d"/>
    <w:p>
      <w:pPr>
        <w:pStyle w:val="Heading3"/>
      </w:pPr>
      <w:r>
        <w:t xml:space="preserve">2.1 Temporal Link Prediction and Dynamic GNNs</w:t>
      </w:r>
    </w:p>
    <w:p>
      <w:pPr>
        <w:pStyle w:val="FirstParagraph"/>
      </w:pPr>
      <w:r>
        <w:t xml:space="preserve">Dynamic graph representation learning models continuous-time or discrete-time network evolution. Discrete-time models, such as EvolveGCN (Pareja et al., 2020), evolve Graph Convolutional Network (GCN) parameters across time-steps using recurrent architectures (GRU or LSTM) driven by graph-level summaries. Self-attention architectures, such as DySAT (Sankar et al., 2020), instead capture dynamic node interactions across graph snapshots using joint structural and temporal attention mechanisms without recurrent parameter evolution. Continuous-time models, including TGAT (Xu et al., 2020) and TGN (Rossi et al., 2020), update node memory states upon individual edge arrival events. Comprehensive benchmarking suites such as DyGLib (Wang et al., 2023) and the Temporal Graph Benchmark (TGB; Huang et al., 2023) have standardized evaluation protocols across dynamic networks, highlighting that performance varies considerably with candidate sampling and temporal granularity.</w:t>
      </w:r>
    </w:p>
    <w:bookmarkEnd w:id="14"/>
    <w:bookmarkStart w:id="15" w:name="X1c5b925d00cd4caa92b065fb9cb500b8c9fc048"/>
    <w:p>
      <w:pPr>
        <w:pStyle w:val="Heading3"/>
      </w:pPr>
      <w:r>
        <w:t xml:space="preserve">2.2 Heuristic Baselines and Evaluation Pitfalls</w:t>
      </w:r>
    </w:p>
    <w:p>
      <w:pPr>
        <w:pStyle w:val="FirstParagraph"/>
      </w:pPr>
      <w:r>
        <w:t xml:space="preserve">Poursafaei et al. (2022) exposed a foundational issue in dynamic link prediction benchmarks: on many standard datasets, simple memorization baselines (termed EdgeBank) that predict the recurrence of previously observed edges often outperform sophisticated temporal GNNs. Furthermore, they demonstrated that standard negative sampling—drawing random non-edges uniformly from the node set—presents an artificially easy classification task, as random node pairs typically share no historical interaction context. Evaluating against</w:t>
      </w:r>
      <w:r>
        <w:t xml:space="preserve"> </w:t>
      </w:r>
      <w:r>
        <w:t xml:space="preserve">“historical negatives”</w:t>
      </w:r>
      <w:r>
        <w:t xml:space="preserve"> </w:t>
      </w:r>
      <w:r>
        <w:t xml:space="preserve">(edges active in the past but absent in the target snapshot) provides a substantially more rigorous test of temporal link extinction, an evaluation principle reinforced across diverse dynamic graph domains by the Temporal Graph Benchmark (Huang et al., 2023).</w:t>
      </w:r>
    </w:p>
    <w:bookmarkEnd w:id="15"/>
    <w:bookmarkStart w:id="16" w:name="X7554f480a5f2994466ab36633cae2a36a5197ef"/>
    <w:p>
      <w:pPr>
        <w:pStyle w:val="Heading3"/>
      </w:pPr>
      <w:r>
        <w:t xml:space="preserve">2.3 Graph Learning in Network Intrusion Detection</w:t>
      </w:r>
    </w:p>
    <w:p>
      <w:pPr>
        <w:pStyle w:val="FirstParagraph"/>
      </w:pPr>
      <w:r>
        <w:t xml:space="preserve">Graph learning for intrusion detection models IP communications to identify lateral movement, scanning, and exfiltration (Sharafaldin et al., 2018; Ferrag et al., 2022; Bilot et al., 2023). In a systematic survey, Bilot et al. (2023) categorized graph neural network architectures across network and host telemetry, highlighting recurring challenges in dynamic graph representation, scalability, and realistic evaluation. Furthermore, network intrusion detection is uniquely vulnerable to the base-rate fallacy (Axelsson, 2000): in real networks, communication graphs are exceptionally sparse, meaning that even a low false-positive rate produces an overwhelming volume of false alarms. Sommer and Paxson (2010) and Arp et al. (2022) emphasized that machine learning models in security must be evaluated with strict chronological realism, accounting for non-stationarity, sampling bias, class imbalance, and the absence of reliable causal ground truth.</w:t>
      </w:r>
    </w:p>
    <w:p>
      <w:r>
        <w:pict>
          <v:rect style="width:0;height:1.5pt" o:hralign="center" o:hrstd="t" o:hr="t"/>
        </w:pict>
      </w:r>
    </w:p>
    <w:bookmarkEnd w:id="16"/>
    <w:bookmarkEnd w:id="17"/>
    <w:bookmarkStart w:id="31" w:name="methodology-problem-formulation"/>
    <w:p>
      <w:pPr>
        <w:pStyle w:val="Heading2"/>
      </w:pPr>
      <w:r>
        <w:t xml:space="preserve">3. Methodology &amp; Problem Formulation</w:t>
      </w:r>
    </w:p>
    <w:p>
      <w:pPr>
        <w:pStyle w:val="FirstParagraph"/>
      </w:pPr>
      <w:r>
        <w:drawing>
          <wp:inline>
            <wp:extent cx="5334000" cy="3225209"/>
            <wp:effectExtent b="0" l="0" r="0" t="0"/>
            <wp:docPr descr="Figure 1: Methodological Pipeline Architecture" title="" id="19" name="Picture"/>
            <a:graphic>
              <a:graphicData uri="http://schemas.openxmlformats.org/drawingml/2006/picture">
                <pic:pic>
                  <pic:nvPicPr>
                    <pic:cNvPr descr="../figures/fig01_pipeline_architecture.png" id="20" name="Picture"/>
                    <pic:cNvPicPr>
                      <a:picLocks noChangeArrowheads="1" noChangeAspect="1"/>
                    </pic:cNvPicPr>
                  </pic:nvPicPr>
                  <pic:blipFill>
                    <a:blip r:embed="rId18"/>
                    <a:stretch>
                      <a:fillRect/>
                    </a:stretch>
                  </pic:blipFill>
                  <pic:spPr bwMode="auto">
                    <a:xfrm>
                      <a:off x="0" y="0"/>
                      <a:ext cx="5334000" cy="3225209"/>
                    </a:xfrm>
                    <a:prstGeom prst="rect">
                      <a:avLst/>
                    </a:prstGeom>
                    <a:noFill/>
                    <a:ln w="9525">
                      <a:noFill/>
                      <a:headEnd/>
                      <a:tailEnd/>
                    </a:ln>
                  </pic:spPr>
                </pic:pic>
              </a:graphicData>
            </a:graphic>
          </wp:inline>
        </w:drawing>
      </w:r>
      <w:r>
        <w:br/>
      </w:r>
      <w:r>
        <w:rPr>
          <w:i/>
          <w:iCs/>
        </w:rPr>
        <w:t xml:space="preserve">Figure 1: Methodological pipeline architecture for empirical temporal link prediction in network security telemetry. The 5-stage empirical workflow encompasses: (1) Telemetry Ingestion from continuous enterprise (APEX-IDS2026) and laboratory cyber-range (CIC-IDS2017) sources; (2) Chronological Graph Snapshot Construction across multiple temporal scales with explicit boundary handling; (3) Candidate Stratification &amp; Negative Sampling Regimes (Setting A Hard Historical Negatives vs. Setting B Mixed Random Negatives); (4) Evaluated Predictor Suite comprising temporal memory baselines, local topological heuristics, and adapted EvolveGCN-H; and (5) Evaluation Protocols encompassing controlled 5-seed benchmarks and uncapped continuous ranking evaluations. Inherited conceptual modules from preliminary proposals (RGAR, CGB, counterfactual reconstruction, and adaptive defense) are strictly eliminated.</w:t>
      </w:r>
    </w:p>
    <w:bookmarkStart w:id="21" w:name="temporal-graph-snapshots"/>
    <w:p>
      <w:pPr>
        <w:pStyle w:val="Heading3"/>
      </w:pPr>
      <w:r>
        <w:t xml:space="preserve">3.1 Temporal Graph Snapshots</w:t>
      </w:r>
    </w:p>
    <w:p>
      <w:pPr>
        <w:pStyle w:val="FirstParagraph"/>
      </w:pPr>
      <w:r>
        <w:t xml:space="preserve">Let</w:t>
      </w:r>
      <w:r>
        <w:t xml:space="preserve"> </w:t>
      </w:r>
      <m:oMath>
        <m:r>
          <m:t>F</m:t>
        </m:r>
        <m:r>
          <m:rPr>
            <m:sty m:val="p"/>
          </m:rPr>
          <m:t>=</m:t>
        </m:r>
        <m:r>
          <m:rPr>
            <m:sty m:val="p"/>
          </m:rPr>
          <m:t>{</m:t>
        </m:r>
        <m:r>
          <m:rPr>
            <m:sty m:val="p"/>
          </m:rPr>
          <m:t>(</m:t>
        </m:r>
        <m:sSub>
          <m:e>
            <m:r>
              <m:t>u</m:t>
            </m:r>
          </m:e>
          <m:sub>
            <m:r>
              <m:t>i</m:t>
            </m:r>
          </m:sub>
        </m:sSub>
        <m:r>
          <m:rPr>
            <m:sty m:val="p"/>
          </m:rPr>
          <m:t>,</m:t>
        </m:r>
        <m:sSub>
          <m:e>
            <m:r>
              <m:t>v</m:t>
            </m:r>
          </m:e>
          <m:sub>
            <m:r>
              <m:t>i</m:t>
            </m:r>
          </m:sub>
        </m:sSub>
        <m:r>
          <m:rPr>
            <m:sty m:val="p"/>
          </m:rPr>
          <m:t>,</m:t>
        </m:r>
        <m:sSub>
          <m:e>
            <m:r>
              <m:t>t</m:t>
            </m:r>
          </m:e>
          <m:sub>
            <m:r>
              <m:t>i</m:t>
            </m:r>
          </m:sub>
        </m:sSub>
        <m:r>
          <m:rPr>
            <m:sty m:val="p"/>
          </m:rPr>
          <m:t>)</m:t>
        </m:r>
        <m:r>
          <m:rPr>
            <m:sty m:val="p"/>
          </m:rPr>
          <m:t>}</m:t>
        </m:r>
      </m:oMath>
      <w:r>
        <w:t xml:space="preserve"> </w:t>
      </w:r>
      <w:r>
        <w:t xml:space="preserve">be a chronological stream of network flows, where</w:t>
      </w:r>
      <w:r>
        <w:t xml:space="preserve"> </w:t>
      </w:r>
      <m:oMath>
        <m:sSub>
          <m:e>
            <m:r>
              <m:t>u</m:t>
            </m:r>
          </m:e>
          <m:sub>
            <m:r>
              <m:t>i</m:t>
            </m:r>
          </m:sub>
        </m:sSub>
        <m:r>
          <m:rPr>
            <m:sty m:val="p"/>
          </m:rPr>
          <m:t>∈</m:t>
        </m:r>
        <m:r>
          <m:rPr>
            <m:scr m:val="script"/>
            <m:sty m:val="p"/>
          </m:rPr>
          <m:t>V</m:t>
        </m:r>
      </m:oMath>
      <w:r>
        <w:t xml:space="preserve"> </w:t>
      </w:r>
      <w:r>
        <w:t xml:space="preserve">is the source IP address,</w:t>
      </w:r>
      <w:r>
        <w:t xml:space="preserve"> </w:t>
      </w:r>
      <m:oMath>
        <m:sSub>
          <m:e>
            <m:r>
              <m:t>v</m:t>
            </m:r>
          </m:e>
          <m:sub>
            <m:r>
              <m:t>i</m:t>
            </m:r>
          </m:sub>
        </m:sSub>
        <m:r>
          <m:rPr>
            <m:sty m:val="p"/>
          </m:rPr>
          <m:t>∈</m:t>
        </m:r>
        <m:r>
          <m:rPr>
            <m:scr m:val="script"/>
            <m:sty m:val="p"/>
          </m:rPr>
          <m:t>V</m:t>
        </m:r>
      </m:oMath>
      <w:r>
        <w:t xml:space="preserve"> </w:t>
      </w:r>
      <w:r>
        <w:t xml:space="preserve">is the destination IP address, and</w:t>
      </w:r>
      <w:r>
        <w:t xml:space="preserve"> </w:t>
      </w:r>
      <m:oMath>
        <m:sSub>
          <m:e>
            <m:r>
              <m:t>t</m:t>
            </m:r>
          </m:e>
          <m:sub>
            <m:r>
              <m:t>i</m:t>
            </m:r>
          </m:sub>
        </m:sSub>
        <m:r>
          <m:rPr>
            <m:sty m:val="p"/>
          </m:rPr>
          <m:t>∈</m:t>
        </m:r>
        <m:sSup>
          <m:e>
            <m:r>
              <m:rPr>
                <m:scr m:val="double-struck"/>
                <m:sty m:val="p"/>
              </m:rPr>
              <m:t>R</m:t>
            </m:r>
          </m:e>
          <m:sup>
            <m:r>
              <m:rPr>
                <m:sty m:val="p"/>
              </m:rPr>
              <m:t>+</m:t>
            </m:r>
          </m:sup>
        </m:sSup>
      </m:oMath>
      <w:r>
        <w:t xml:space="preserve"> </w:t>
      </w:r>
      <w:r>
        <w:t xml:space="preserve">is the flow start timestamp. Following standard temporal network formulations (Holme &amp; Saramäki, 2012), given a temporal window size</w:t>
      </w:r>
      <w:r>
        <w:t xml:space="preserve"> </w:t>
      </w:r>
      <m:oMath>
        <m:r>
          <m:rPr>
            <m:sty m:val="p"/>
          </m:rPr>
          <m:t>Δ</m:t>
        </m:r>
        <m:r>
          <m:t>t</m:t>
        </m:r>
      </m:oMath>
      <w:r>
        <w:t xml:space="preserve">, we partition the timeline into discrete non-overlapping snapshots</w:t>
      </w:r>
      <w:r>
        <w:t xml:space="preserve"> </w:t>
      </w:r>
      <m:oMath>
        <m:r>
          <m:rPr>
            <m:scr m:val="script"/>
            <m:sty m:val="p"/>
          </m:rPr>
          <m:t>G</m:t>
        </m:r>
        <m:r>
          <m:rPr>
            <m:sty m:val="p"/>
          </m:rPr>
          <m:t>=</m:t>
        </m:r>
        <m:r>
          <m:rPr>
            <m:sty m:val="p"/>
          </m:rPr>
          <m:t>(</m:t>
        </m:r>
        <m:sSub>
          <m:e>
            <m:r>
              <m:t>G</m:t>
            </m:r>
          </m:e>
          <m:sub>
            <m:r>
              <m:t>0</m:t>
            </m:r>
          </m:sub>
        </m:sSub>
        <m:r>
          <m:rPr>
            <m:sty m:val="p"/>
          </m:rPr>
          <m:t>,</m:t>
        </m:r>
        <m:sSub>
          <m:e>
            <m:r>
              <m:t>G</m:t>
            </m:r>
          </m:e>
          <m:sub>
            <m:r>
              <m:t>1</m:t>
            </m:r>
          </m:sub>
        </m:sSub>
        <m:r>
          <m:rPr>
            <m:sty m:val="p"/>
          </m:rPr>
          <m:t>,</m:t>
        </m:r>
        <m:r>
          <m:rPr>
            <m:sty m:val="p"/>
          </m:rPr>
          <m:t>…</m:t>
        </m:r>
        <m:r>
          <m:rPr>
            <m:sty m:val="p"/>
          </m:rPr>
          <m:t>,</m:t>
        </m:r>
        <m:sSub>
          <m:e>
            <m:r>
              <m:t>G</m:t>
            </m:r>
          </m:e>
          <m:sub>
            <m:r>
              <m:t>T</m:t>
            </m:r>
          </m:sub>
        </m:sSub>
        <m:r>
          <m:rPr>
            <m:sty m:val="p"/>
          </m:rPr>
          <m:t>)</m:t>
        </m:r>
      </m:oMath>
      <w:r>
        <w:t xml:space="preserve">.</w:t>
      </w:r>
    </w:p>
    <w:p>
      <w:pPr>
        <w:pStyle w:val="BodyText"/>
      </w:pPr>
      <w:r>
        <w:t xml:space="preserve">Each snapshot</w:t>
      </w:r>
      <w:r>
        <w:t xml:space="preserve"> </w:t>
      </w:r>
      <m:oMath>
        <m:sSub>
          <m:e>
            <m:r>
              <m:t>G</m:t>
            </m:r>
          </m:e>
          <m:sub>
            <m:r>
              <m:t>t</m:t>
            </m:r>
          </m:sub>
        </m:sSub>
        <m:r>
          <m:rPr>
            <m:sty m:val="p"/>
          </m:rPr>
          <m:t>=</m:t>
        </m:r>
        <m:r>
          <m:rPr>
            <m:sty m:val="p"/>
          </m:rPr>
          <m:t>(</m:t>
        </m:r>
        <m:sSub>
          <m:e>
            <m:r>
              <m:t>V</m:t>
            </m:r>
          </m:e>
          <m:sub>
            <m:r>
              <m:t>t</m:t>
            </m:r>
          </m:sub>
        </m:sSub>
        <m:r>
          <m:rPr>
            <m:sty m:val="p"/>
          </m:rPr>
          <m:t>,</m:t>
        </m:r>
        <m:sSub>
          <m:e>
            <m:r>
              <m:t>E</m:t>
            </m:r>
          </m:e>
          <m:sub>
            <m:r>
              <m:t>t</m:t>
            </m:r>
          </m:sub>
        </m:sSub>
        <m:r>
          <m:rPr>
            <m:sty m:val="p"/>
          </m:rPr>
          <m:t>)</m:t>
        </m:r>
      </m:oMath>
      <w:r>
        <w:t xml:space="preserve"> </w:t>
      </w:r>
      <w:r>
        <w:t xml:space="preserve">is a directed multigraph collapsed into unique directed edges:</w:t>
      </w:r>
    </w:p>
    <w:p>
      <w:pPr>
        <w:pStyle w:val="BodyText"/>
      </w:pPr>
      <m:oMathPara>
        <m:oMathParaPr>
          <m:jc m:val="center"/>
        </m:oMathParaPr>
        <m:oMath>
          <m:sSub>
            <m:e>
              <m:r>
                <m:t>E</m:t>
              </m:r>
            </m:e>
            <m:sub>
              <m:r>
                <m:t>t</m:t>
              </m:r>
            </m:sub>
          </m:sSub>
          <m:r>
            <m:rPr>
              <m:sty m:val="p"/>
            </m:rPr>
            <m:t>=</m:t>
          </m:r>
          <m:r>
            <m:rPr>
              <m:sty m:val="p"/>
            </m:rPr>
            <m:t>{</m:t>
          </m:r>
          <m:r>
            <m:rPr>
              <m:sty m:val="p"/>
            </m:rPr>
            <m:t>(</m:t>
          </m:r>
          <m:r>
            <m:t>u</m:t>
          </m:r>
          <m:r>
            <m:rPr>
              <m:sty m:val="p"/>
            </m:rPr>
            <m:t>,</m:t>
          </m:r>
          <m:r>
            <m:t>v</m:t>
          </m:r>
          <m:r>
            <m:rPr>
              <m:sty m:val="p"/>
            </m:rPr>
            <m:t>)</m:t>
          </m:r>
          <m:r>
            <m:rPr>
              <m:sty m:val="p"/>
            </m:rPr>
            <m:t>∣</m:t>
          </m:r>
          <m:r>
            <m:rPr>
              <m:sty m:val="p"/>
            </m:rPr>
            <m:t>∃</m:t>
          </m:r>
          <m:r>
            <m:rPr>
              <m:sty m:val="p"/>
            </m:rPr>
            <m:t>(</m:t>
          </m:r>
          <m:r>
            <m:t>u</m:t>
          </m:r>
          <m:r>
            <m:rPr>
              <m:sty m:val="p"/>
            </m:rPr>
            <m:t>,</m:t>
          </m:r>
          <m:r>
            <m:t>v</m:t>
          </m:r>
          <m:r>
            <m:rPr>
              <m:sty m:val="p"/>
            </m:rPr>
            <m:t>,</m:t>
          </m:r>
          <m:sSub>
            <m:e>
              <m:r>
                <m:t>t</m:t>
              </m:r>
            </m:e>
            <m:sub>
              <m:r>
                <m:t>i</m:t>
              </m:r>
            </m:sub>
          </m:sSub>
          <m:r>
            <m:rPr>
              <m:sty m:val="p"/>
            </m:rPr>
            <m:t>)</m:t>
          </m:r>
          <m:r>
            <m:rPr>
              <m:sty m:val="p"/>
            </m:rPr>
            <m:t>∈</m:t>
          </m:r>
          <m:r>
            <m:t>F</m:t>
          </m:r>
          <m:r>
            <m:rPr>
              <m:nor/>
              <m:sty m:val="p"/>
            </m:rPr>
            <m:t> with </m:t>
          </m:r>
          <m:r>
            <m:t>t</m:t>
          </m:r>
          <m:r>
            <m:rPr>
              <m:sty m:val="p"/>
            </m:rPr>
            <m:t>⋅</m:t>
          </m:r>
          <m:r>
            <m:rPr>
              <m:sty m:val="p"/>
            </m:rPr>
            <m:t>Δ</m:t>
          </m:r>
          <m:r>
            <m:t>t</m:t>
          </m:r>
          <m:r>
            <m:rPr>
              <m:sty m:val="p"/>
            </m:rPr>
            <m:t>≤</m:t>
          </m:r>
          <m:sSub>
            <m:e>
              <m:r>
                <m:t>t</m:t>
              </m:r>
            </m:e>
            <m:sub>
              <m:r>
                <m:t>i</m:t>
              </m:r>
            </m:sub>
          </m:sSub>
          <m:r>
            <m:rPr>
              <m:sty m:val="p"/>
            </m:rPr>
            <m:t>&lt;</m:t>
          </m:r>
          <m:r>
            <m:rPr>
              <m:sty m:val="p"/>
            </m:rPr>
            <m:t>(</m:t>
          </m:r>
          <m:r>
            <m:t>t</m:t>
          </m:r>
          <m:r>
            <m:rPr>
              <m:sty m:val="p"/>
            </m:rPr>
            <m:t>+</m:t>
          </m:r>
          <m:r>
            <m:t>1</m:t>
          </m:r>
          <m:r>
            <m:rPr>
              <m:sty m:val="p"/>
            </m:rPr>
            <m:t>)</m:t>
          </m:r>
          <m:r>
            <m:rPr>
              <m:sty m:val="p"/>
            </m:rPr>
            <m:t>⋅</m:t>
          </m:r>
          <m:r>
            <m:rPr>
              <m:sty m:val="p"/>
            </m:rPr>
            <m:t>Δ</m:t>
          </m:r>
          <m:r>
            <m:t>t</m:t>
          </m:r>
          <m:r>
            <m:rPr>
              <m:sty m:val="p"/>
            </m:rPr>
            <m:t>}</m:t>
          </m:r>
        </m:oMath>
      </m:oMathPara>
    </w:p>
    <w:p>
      <w:pPr>
        <w:pStyle w:val="FirstParagraph"/>
      </w:pPr>
      <m:oMathPara>
        <m:oMathParaPr>
          <m:jc m:val="center"/>
        </m:oMathParaPr>
        <m:oMath>
          <m:sSub>
            <m:e>
              <m:r>
                <m:t>V</m:t>
              </m:r>
            </m:e>
            <m:sub>
              <m:r>
                <m:t>t</m:t>
              </m:r>
            </m:sub>
          </m:sSub>
          <m:r>
            <m:rPr>
              <m:sty m:val="p"/>
            </m:rPr>
            <m:t>=</m:t>
          </m:r>
          <m:r>
            <m:rPr>
              <m:sty m:val="p"/>
            </m:rPr>
            <m:t>{</m:t>
          </m:r>
          <m:r>
            <m:t>u</m:t>
          </m:r>
          <m:r>
            <m:rPr>
              <m:sty m:val="p"/>
            </m:rPr>
            <m:t>∣</m:t>
          </m:r>
          <m:r>
            <m:rPr>
              <m:sty m:val="p"/>
            </m:rPr>
            <m:t>∃</m:t>
          </m:r>
          <m:r>
            <m:t>v</m:t>
          </m:r>
          <m:r>
            <m:rPr>
              <m:sty m:val="p"/>
            </m:rPr>
            <m:t>,</m:t>
          </m:r>
          <m:r>
            <m:rPr>
              <m:sty m:val="p"/>
            </m:rPr>
            <m:t>(</m:t>
          </m:r>
          <m:r>
            <m:t>u</m:t>
          </m:r>
          <m:r>
            <m:rPr>
              <m:sty m:val="p"/>
            </m:rPr>
            <m:t>,</m:t>
          </m:r>
          <m:r>
            <m:t>v</m:t>
          </m:r>
          <m:r>
            <m:rPr>
              <m:sty m:val="p"/>
            </m:rPr>
            <m:t>)</m:t>
          </m:r>
          <m:r>
            <m:rPr>
              <m:sty m:val="p"/>
            </m:rPr>
            <m:t>∈</m:t>
          </m:r>
          <m:sSub>
            <m:e>
              <m:r>
                <m:t>E</m:t>
              </m:r>
            </m:e>
            <m:sub>
              <m:r>
                <m:t>t</m:t>
              </m:r>
            </m:sub>
          </m:sSub>
          <m:r>
            <m:rPr>
              <m:sty m:val="p"/>
            </m:rPr>
            <m:t>}</m:t>
          </m:r>
          <m:r>
            <m:rPr>
              <m:sty m:val="p"/>
            </m:rPr>
            <m:t>∪</m:t>
          </m:r>
          <m:r>
            <m:rPr>
              <m:sty m:val="p"/>
            </m:rPr>
            <m:t>{</m:t>
          </m:r>
          <m:r>
            <m:t>v</m:t>
          </m:r>
          <m:r>
            <m:rPr>
              <m:sty m:val="p"/>
            </m:rPr>
            <m:t>∣</m:t>
          </m:r>
          <m:r>
            <m:rPr>
              <m:sty m:val="p"/>
            </m:rPr>
            <m:t>∃</m:t>
          </m:r>
          <m:r>
            <m:t>u</m:t>
          </m:r>
          <m:r>
            <m:rPr>
              <m:sty m:val="p"/>
            </m:rPr>
            <m:t>,</m:t>
          </m:r>
          <m:r>
            <m:rPr>
              <m:sty m:val="p"/>
            </m:rPr>
            <m:t>(</m:t>
          </m:r>
          <m:r>
            <m:t>u</m:t>
          </m:r>
          <m:r>
            <m:rPr>
              <m:sty m:val="p"/>
            </m:rPr>
            <m:t>,</m:t>
          </m:r>
          <m:r>
            <m:t>v</m:t>
          </m:r>
          <m:r>
            <m:rPr>
              <m:sty m:val="p"/>
            </m:rPr>
            <m:t>)</m:t>
          </m:r>
          <m:r>
            <m:rPr>
              <m:sty m:val="p"/>
            </m:rPr>
            <m:t>∈</m:t>
          </m:r>
          <m:sSub>
            <m:e>
              <m:r>
                <m:t>E</m:t>
              </m:r>
            </m:e>
            <m:sub>
              <m:r>
                <m:t>t</m:t>
              </m:r>
            </m:sub>
          </m:sSub>
          <m:r>
            <m:rPr>
              <m:sty m:val="p"/>
            </m:rPr>
            <m:t>}</m:t>
          </m:r>
        </m:oMath>
      </m:oMathPara>
    </w:p>
    <w:p>
      <w:pPr>
        <w:pStyle w:val="FirstParagraph"/>
      </w:pPr>
      <w:r>
        <w:t xml:space="preserve">The historical graph up to time</w:t>
      </w:r>
      <w:r>
        <w:t xml:space="preserve"> </w:t>
      </w:r>
      <m:oMath>
        <m:r>
          <m:t>t</m:t>
        </m:r>
      </m:oMath>
      <w:r>
        <w:t xml:space="preserve"> </w:t>
      </w:r>
      <w:r>
        <w:t xml:space="preserve">is denoted</w:t>
      </w:r>
      <w:r>
        <w:t xml:space="preserve"> </w:t>
      </w:r>
      <m:oMath>
        <m:sSub>
          <m:e>
            <m:r>
              <m:t>G</m:t>
            </m:r>
          </m:e>
          <m:sub>
            <m:r>
              <m:rPr>
                <m:sty m:val="p"/>
              </m:rPr>
              <m:t>≤</m:t>
            </m:r>
            <m:r>
              <m:t>t</m:t>
            </m:r>
          </m:sub>
        </m:sSub>
        <m:r>
          <m:rPr>
            <m:sty m:val="p"/>
          </m:rPr>
          <m:t>=</m:t>
        </m:r>
        <m:r>
          <m:rPr>
            <m:sty m:val="p"/>
          </m:rPr>
          <m:t>(</m:t>
        </m:r>
        <m:sSub>
          <m:e>
            <m:r>
              <m:t>V</m:t>
            </m:r>
          </m:e>
          <m:sub>
            <m:r>
              <m:rPr>
                <m:sty m:val="p"/>
              </m:rPr>
              <m:t>≤</m:t>
            </m:r>
            <m:r>
              <m:t>t</m:t>
            </m:r>
          </m:sub>
        </m:sSub>
        <m:r>
          <m:rPr>
            <m:sty m:val="p"/>
          </m:rPr>
          <m:t>,</m:t>
        </m:r>
        <m:sSub>
          <m:e>
            <m:r>
              <m:t>E</m:t>
            </m:r>
          </m:e>
          <m:sub>
            <m:r>
              <m:rPr>
                <m:sty m:val="p"/>
              </m:rPr>
              <m:t>≤</m:t>
            </m:r>
            <m:r>
              <m:t>t</m:t>
            </m:r>
          </m:sub>
        </m:sSub>
        <m:r>
          <m:rPr>
            <m:sty m:val="p"/>
          </m:rPr>
          <m:t>)</m:t>
        </m:r>
      </m:oMath>
      <w:r>
        <w:t xml:space="preserve"> </w:t>
      </w:r>
      <w:r>
        <w:t xml:space="preserve">where</w:t>
      </w:r>
      <w:r>
        <w:t xml:space="preserve"> </w:t>
      </w:r>
      <m:oMath>
        <m:sSub>
          <m:e>
            <m:r>
              <m:t>V</m:t>
            </m:r>
          </m:e>
          <m:sub>
            <m:r>
              <m:rPr>
                <m:sty m:val="p"/>
              </m:rPr>
              <m:t>≤</m:t>
            </m:r>
            <m:r>
              <m:t>t</m:t>
            </m:r>
          </m:sub>
        </m:sSub>
        <m:r>
          <m:rPr>
            <m:sty m:val="p"/>
          </m:rPr>
          <m:t>=</m:t>
        </m:r>
        <m:sSubSup>
          <m:e>
            <m:r>
              <m:rPr>
                <m:sty m:val="p"/>
              </m:rPr>
              <m:t>⋃</m:t>
            </m:r>
          </m:e>
          <m:sub>
            <m:r>
              <m:t>τ</m:t>
            </m:r>
            <m:r>
              <m:rPr>
                <m:sty m:val="p"/>
              </m:rPr>
              <m:t>=</m:t>
            </m:r>
            <m:r>
              <m:t>0</m:t>
            </m:r>
          </m:sub>
          <m:sup>
            <m:r>
              <m:t>t</m:t>
            </m:r>
          </m:sup>
        </m:sSubSup>
        <m:sSub>
          <m:e>
            <m:r>
              <m:t>V</m:t>
            </m:r>
          </m:e>
          <m:sub>
            <m:r>
              <m:t>τ</m:t>
            </m:r>
          </m:sub>
        </m:sSub>
      </m:oMath>
      <w:r>
        <w:t xml:space="preserve"> </w:t>
      </w:r>
      <w:r>
        <w:t xml:space="preserve">and</w:t>
      </w:r>
      <w:r>
        <w:t xml:space="preserve"> </w:t>
      </w:r>
      <m:oMath>
        <m:sSub>
          <m:e>
            <m:r>
              <m:t>E</m:t>
            </m:r>
          </m:e>
          <m:sub>
            <m:r>
              <m:rPr>
                <m:sty m:val="p"/>
              </m:rPr>
              <m:t>≤</m:t>
            </m:r>
            <m:r>
              <m:t>t</m:t>
            </m:r>
          </m:sub>
        </m:sSub>
        <m:r>
          <m:rPr>
            <m:sty m:val="p"/>
          </m:rPr>
          <m:t>=</m:t>
        </m:r>
        <m:sSubSup>
          <m:e>
            <m:r>
              <m:rPr>
                <m:sty m:val="p"/>
              </m:rPr>
              <m:t>⋃</m:t>
            </m:r>
          </m:e>
          <m:sub>
            <m:r>
              <m:t>τ</m:t>
            </m:r>
            <m:r>
              <m:rPr>
                <m:sty m:val="p"/>
              </m:rPr>
              <m:t>=</m:t>
            </m:r>
            <m:r>
              <m:t>0</m:t>
            </m:r>
          </m:sub>
          <m:sup>
            <m:r>
              <m:t>t</m:t>
            </m:r>
          </m:sup>
        </m:sSubSup>
        <m:sSub>
          <m:e>
            <m:r>
              <m:t>E</m:t>
            </m:r>
          </m:e>
          <m:sub>
            <m:r>
              <m:t>τ</m:t>
            </m:r>
          </m:sub>
        </m:sSub>
      </m:oMath>
      <w:r>
        <w:t xml:space="preserve">.</w:t>
      </w:r>
    </w:p>
    <w:bookmarkEnd w:id="21"/>
    <w:bookmarkStart w:id="22" w:name="next-snapshot-temporal-link-prediction"/>
    <w:p>
      <w:pPr>
        <w:pStyle w:val="Heading3"/>
      </w:pPr>
      <w:r>
        <w:t xml:space="preserve">3.2 Next-Snapshot Temporal Link Prediction</w:t>
      </w:r>
    </w:p>
    <w:p>
      <w:pPr>
        <w:pStyle w:val="FirstParagraph"/>
      </w:pPr>
      <w:r>
        <w:t xml:space="preserve">The prediction objective is to evaluate whether a candidate directed edge</w:t>
      </w:r>
      <w:r>
        <w:t xml:space="preserve"> </w:t>
      </w:r>
      <m:oMath>
        <m:r>
          <m:rPr>
            <m:sty m:val="p"/>
          </m:rPr>
          <m:t>(</m:t>
        </m:r>
        <m:r>
          <m:t>u</m:t>
        </m:r>
        <m:r>
          <m:rPr>
            <m:sty m:val="p"/>
          </m:rPr>
          <m:t>,</m:t>
        </m:r>
        <m:r>
          <m:t>v</m:t>
        </m:r>
        <m:r>
          <m:rPr>
            <m:sty m:val="p"/>
          </m:rPr>
          <m:t>)</m:t>
        </m:r>
      </m:oMath>
      <w:r>
        <w:t xml:space="preserve"> </w:t>
      </w:r>
      <w:r>
        <w:t xml:space="preserve">will appear in the subsequent snapshot</w:t>
      </w:r>
      <w:r>
        <w:t xml:space="preserve"> </w:t>
      </w:r>
      <m:oMath>
        <m:sSub>
          <m:e>
            <m:r>
              <m:t>G</m:t>
            </m:r>
          </m:e>
          <m:sub>
            <m:r>
              <m:t>t</m:t>
            </m:r>
            <m:r>
              <m:rPr>
                <m:sty m:val="p"/>
              </m:rPr>
              <m:t>+</m:t>
            </m:r>
            <m:r>
              <m:t>1</m:t>
            </m:r>
          </m:sub>
        </m:sSub>
      </m:oMath>
      <w:r>
        <w:t xml:space="preserve">, conditioning strictly on information available up to and including snapshot</w:t>
      </w:r>
      <w:r>
        <w:t xml:space="preserve"> </w:t>
      </w:r>
      <m:oMath>
        <m:sSub>
          <m:e>
            <m:r>
              <m:t>G</m:t>
            </m:r>
          </m:e>
          <m:sub>
            <m:r>
              <m:t>t</m:t>
            </m:r>
          </m:sub>
        </m:sSub>
      </m:oMath>
      <w:r>
        <w:t xml:space="preserve">.</w:t>
      </w:r>
    </w:p>
    <w:p>
      <w:pPr>
        <w:pStyle w:val="BodyText"/>
      </w:pPr>
      <w:r>
        <w:t xml:space="preserve">To prevent evaluation bias and future-information leakage, candidate positive edges in</w:t>
      </w:r>
      <w:r>
        <w:t xml:space="preserve"> </w:t>
      </w:r>
      <m:oMath>
        <m:sSub>
          <m:e>
            <m:r>
              <m:t>G</m:t>
            </m:r>
          </m:e>
          <m:sub>
            <m:r>
              <m:t>t</m:t>
            </m:r>
            <m:r>
              <m:rPr>
                <m:sty m:val="p"/>
              </m:rPr>
              <m:t>+</m:t>
            </m:r>
            <m:r>
              <m:t>1</m:t>
            </m:r>
          </m:sub>
        </m:sSub>
      </m:oMath>
      <w:r>
        <w:t xml:space="preserve"> </w:t>
      </w:r>
      <w:r>
        <w:t xml:space="preserve">are partitioned into four disjoint subsets:</w:t>
      </w:r>
      <w:r>
        <w:t xml:space="preserve"> </w:t>
      </w:r>
      <w:r>
        <w:t xml:space="preserve">1.</w:t>
      </w:r>
      <w:r>
        <w:t xml:space="preserve"> </w:t>
      </w:r>
      <w:r>
        <w:rPr>
          <w:b/>
          <w:bCs/>
        </w:rPr>
        <w:t xml:space="preserve">Recurring Edges (</w:t>
      </w:r>
      <m:oMath>
        <m:sSubSup>
          <m:e>
            <m:r>
              <m:t>E</m:t>
            </m:r>
          </m:e>
          <m:sub>
            <m:r>
              <m:t>t</m:t>
            </m:r>
            <m:r>
              <m:rPr>
                <m:sty m:val="p"/>
              </m:rPr>
              <m:t>+</m:t>
            </m:r>
            <m:r>
              <m:t>1</m:t>
            </m:r>
          </m:sub>
          <m:sup>
            <m:r>
              <m:rPr>
                <m:nor/>
                <m:sty m:val="p"/>
              </m:rPr>
              <m:t>rec</m:t>
            </m:r>
          </m:sup>
        </m:sSubSup>
      </m:oMath>
      <w:r>
        <w:rPr>
          <w:b/>
          <w:bCs/>
        </w:rPr>
        <w:t xml:space="preserve">):</w:t>
      </w:r>
      <w:r>
        <w:t xml:space="preserve"> </w:t>
      </w:r>
      <w:r>
        <w:t xml:space="preserve">Edges active in both snapshots:</w:t>
      </w:r>
      <w:r>
        <w:t xml:space="preserve"> </w:t>
      </w:r>
      <m:oMath>
        <m:sSub>
          <m:e>
            <m:r>
              <m:t>E</m:t>
            </m:r>
          </m:e>
          <m:sub>
            <m:r>
              <m:t>t</m:t>
            </m:r>
            <m:r>
              <m:rPr>
                <m:sty m:val="p"/>
              </m:rPr>
              <m:t>+</m:t>
            </m:r>
            <m:r>
              <m:t>1</m:t>
            </m:r>
          </m:sub>
        </m:sSub>
        <m:r>
          <m:rPr>
            <m:sty m:val="p"/>
          </m:rPr>
          <m:t>∩</m:t>
        </m:r>
        <m:sSub>
          <m:e>
            <m:r>
              <m:t>E</m:t>
            </m:r>
          </m:e>
          <m:sub>
            <m:r>
              <m:t>t</m:t>
            </m:r>
          </m:sub>
        </m:sSub>
      </m:oMath>
      <w:r>
        <w:t xml:space="preserve">. On APEX-IDS2026 test transitions, recurring edges account for</w:t>
      </w:r>
      <w:r>
        <w:t xml:space="preserve"> </w:t>
      </w:r>
      <m:oMath>
        <m:r>
          <m:t>46.01</m:t>
        </m:r>
        <m:r>
          <m:rPr>
            <m:sty m:val="p"/>
          </m:rPr>
          <m:t>%</m:t>
        </m:r>
        <m:r>
          <m:rPr>
            <m:sty m:val="p"/>
          </m:rPr>
          <m:t>±</m:t>
        </m:r>
        <m:r>
          <m:t>6.82</m:t>
        </m:r>
        <m:r>
          <m:rPr>
            <m:sty m:val="p"/>
          </m:rPr>
          <m:t>%</m:t>
        </m:r>
      </m:oMath>
      <w:r>
        <w:t xml:space="preserve"> </w:t>
      </w:r>
      <w:r>
        <w:t xml:space="preserve">of target edges; on the CIC-IDS2017 Day 4 transition, they represent</w:t>
      </w:r>
      <w:r>
        <w:t xml:space="preserve"> </w:t>
      </w:r>
      <m:oMath>
        <m:r>
          <m:t>30.94</m:t>
        </m:r>
        <m:r>
          <m:rPr>
            <m:sty m:val="p"/>
          </m:rPr>
          <m:t>%</m:t>
        </m:r>
      </m:oMath>
      <w:r>
        <w:t xml:space="preserve"> </w:t>
      </w:r>
      <w:r>
        <w:t xml:space="preserve">(9,939 of 32,120 edges).</w:t>
      </w:r>
      <w:r>
        <w:t xml:space="preserve"> </w:t>
      </w:r>
      <w:r>
        <w:t xml:space="preserve">2.</w:t>
      </w:r>
      <w:r>
        <w:t xml:space="preserve"> </w:t>
      </w:r>
      <w:r>
        <w:rPr>
          <w:b/>
          <w:bCs/>
        </w:rPr>
        <w:t xml:space="preserve">New Edges Between Concurrently Active Known Nodes (</w:t>
      </w:r>
      <m:oMath>
        <m:sSubSup>
          <m:e>
            <m:r>
              <m:t>E</m:t>
            </m:r>
          </m:e>
          <m:sub>
            <m:r>
              <m:t>t</m:t>
            </m:r>
            <m:r>
              <m:rPr>
                <m:sty m:val="p"/>
              </m:rPr>
              <m:t>+</m:t>
            </m:r>
            <m:r>
              <m:t>1</m:t>
            </m:r>
          </m:sub>
          <m:sup>
            <m:r>
              <m:rPr>
                <m:nor/>
                <m:sty m:val="p"/>
              </m:rPr>
              <m:t>active</m:t>
            </m:r>
          </m:sup>
        </m:sSubSup>
      </m:oMath>
      <w:r>
        <w:rPr>
          <w:b/>
          <w:bCs/>
        </w:rPr>
        <w:t xml:space="preserve">):</w:t>
      </w:r>
      <w:r>
        <w:t xml:space="preserve"> </w:t>
      </w:r>
      <w:r>
        <w:t xml:space="preserve">Newly formed edges where both endpoints were active in the immediately preceding snapshot:</w:t>
      </w:r>
      <w:r>
        <w:t xml:space="preserve"> </w:t>
      </w:r>
      <m:oMath>
        <m:r>
          <m:rPr>
            <m:sty m:val="p"/>
          </m:rPr>
          <m:t>{</m:t>
        </m:r>
        <m:r>
          <m:rPr>
            <m:sty m:val="p"/>
          </m:rPr>
          <m:t>(</m:t>
        </m:r>
        <m:r>
          <m:t>u</m:t>
        </m:r>
        <m:r>
          <m:rPr>
            <m:sty m:val="p"/>
          </m:rPr>
          <m:t>,</m:t>
        </m:r>
        <m:r>
          <m:t>v</m:t>
        </m:r>
        <m:r>
          <m:rPr>
            <m:sty m:val="p"/>
          </m:rPr>
          <m:t>)</m:t>
        </m:r>
        <m:r>
          <m:rPr>
            <m:sty m:val="p"/>
          </m:rPr>
          <m:t>∈</m:t>
        </m:r>
        <m:sSub>
          <m:e>
            <m:r>
              <m:t>E</m:t>
            </m:r>
          </m:e>
          <m:sub>
            <m:r>
              <m:t>t</m:t>
            </m:r>
            <m:r>
              <m:rPr>
                <m:sty m:val="p"/>
              </m:rPr>
              <m:t>+</m:t>
            </m:r>
            <m:r>
              <m:t>1</m:t>
            </m:r>
          </m:sub>
        </m:sSub>
        <m:r>
          <m:rPr>
            <m:sty m:val="p"/>
          </m:rPr>
          <m:t>\</m:t>
        </m:r>
        <m:sSub>
          <m:e>
            <m:r>
              <m:t>E</m:t>
            </m:r>
          </m:e>
          <m:sub>
            <m:r>
              <m:t>t</m:t>
            </m:r>
          </m:sub>
        </m:sSub>
        <m:r>
          <m:rPr>
            <m:sty m:val="p"/>
          </m:rPr>
          <m:t>∣</m:t>
        </m:r>
        <m:r>
          <m:t>u</m:t>
        </m:r>
        <m:r>
          <m:rPr>
            <m:sty m:val="p"/>
          </m:rPr>
          <m:t>,</m:t>
        </m:r>
        <m:r>
          <m:t>v</m:t>
        </m:r>
        <m:r>
          <m:rPr>
            <m:sty m:val="p"/>
          </m:rPr>
          <m:t>∈</m:t>
        </m:r>
        <m:sSub>
          <m:e>
            <m:r>
              <m:t>V</m:t>
            </m:r>
          </m:e>
          <m:sub>
            <m:r>
              <m:t>t</m:t>
            </m:r>
          </m:sub>
        </m:sSub>
        <m:r>
          <m:rPr>
            <m:sty m:val="p"/>
          </m:rPr>
          <m:t>}</m:t>
        </m:r>
      </m:oMath>
      <w:r>
        <w:t xml:space="preserve">. These account for</w:t>
      </w:r>
      <w:r>
        <w:t xml:space="preserve"> </w:t>
      </w:r>
      <m:oMath>
        <m:r>
          <m:t>25.75</m:t>
        </m:r>
        <m:r>
          <m:rPr>
            <m:sty m:val="p"/>
          </m:rPr>
          <m:t>%</m:t>
        </m:r>
        <m:r>
          <m:rPr>
            <m:sty m:val="p"/>
          </m:rPr>
          <m:t>±</m:t>
        </m:r>
        <m:r>
          <m:t>2.80</m:t>
        </m:r>
        <m:r>
          <m:rPr>
            <m:sty m:val="p"/>
          </m:rPr>
          <m:t>%</m:t>
        </m:r>
      </m:oMath>
      <w:r>
        <w:t xml:space="preserve"> </w:t>
      </w:r>
      <w:r>
        <w:t xml:space="preserve">of target edges on APEX-IDS2026 and</w:t>
      </w:r>
      <w:r>
        <w:t xml:space="preserve"> </w:t>
      </w:r>
      <m:oMath>
        <m:r>
          <m:t>38.39</m:t>
        </m:r>
        <m:r>
          <m:rPr>
            <m:sty m:val="p"/>
          </m:rPr>
          <m:t>%</m:t>
        </m:r>
      </m:oMath>
      <w:r>
        <w:t xml:space="preserve"> </w:t>
      </w:r>
      <w:r>
        <w:t xml:space="preserve">(12,330 edges) on CIC-IDS2017.</w:t>
      </w:r>
      <w:r>
        <w:t xml:space="preserve"> </w:t>
      </w:r>
      <w:r>
        <w:t xml:space="preserve">3.</w:t>
      </w:r>
      <w:r>
        <w:t xml:space="preserve"> </w:t>
      </w:r>
      <w:r>
        <w:rPr>
          <w:b/>
          <w:bCs/>
        </w:rPr>
        <w:t xml:space="preserve">New Edges Involving Dormant Historical Nodes (</w:t>
      </w:r>
      <m:oMath>
        <m:sSubSup>
          <m:e>
            <m:r>
              <m:t>E</m:t>
            </m:r>
          </m:e>
          <m:sub>
            <m:r>
              <m:t>t</m:t>
            </m:r>
            <m:r>
              <m:rPr>
                <m:sty m:val="p"/>
              </m:rPr>
              <m:t>+</m:t>
            </m:r>
            <m:r>
              <m:t>1</m:t>
            </m:r>
          </m:sub>
          <m:sup>
            <m:r>
              <m:rPr>
                <m:nor/>
                <m:sty m:val="p"/>
              </m:rPr>
              <m:t>dormant</m:t>
            </m:r>
          </m:sup>
        </m:sSubSup>
      </m:oMath>
      <w:r>
        <w:rPr>
          <w:b/>
          <w:bCs/>
        </w:rPr>
        <w:t xml:space="preserve">):</w:t>
      </w:r>
      <w:r>
        <w:t xml:space="preserve"> </w:t>
      </w:r>
      <w:r>
        <w:t xml:space="preserve">Edges where at least one endpoint was dormant in</w:t>
      </w:r>
      <w:r>
        <w:t xml:space="preserve"> </w:t>
      </w:r>
      <m:oMath>
        <m:sSub>
          <m:e>
            <m:r>
              <m:t>G</m:t>
            </m:r>
          </m:e>
          <m:sub>
            <m:r>
              <m:t>t</m:t>
            </m:r>
          </m:sub>
        </m:sSub>
      </m:oMath>
      <w:r>
        <w:t xml:space="preserve"> </w:t>
      </w:r>
      <w:r>
        <w:t xml:space="preserve">but was observed in prior historical telemetry:</w:t>
      </w:r>
      <w:r>
        <w:t xml:space="preserve"> </w:t>
      </w:r>
      <m:oMath>
        <m:r>
          <m:rPr>
            <m:sty m:val="p"/>
          </m:rPr>
          <m:t>{</m:t>
        </m:r>
        <m:r>
          <m:rPr>
            <m:sty m:val="p"/>
          </m:rPr>
          <m:t>(</m:t>
        </m:r>
        <m:r>
          <m:t>u</m:t>
        </m:r>
        <m:r>
          <m:rPr>
            <m:sty m:val="p"/>
          </m:rPr>
          <m:t>,</m:t>
        </m:r>
        <m:r>
          <m:t>v</m:t>
        </m:r>
        <m:r>
          <m:rPr>
            <m:sty m:val="p"/>
          </m:rPr>
          <m:t>)</m:t>
        </m:r>
        <m:r>
          <m:rPr>
            <m:sty m:val="p"/>
          </m:rPr>
          <m:t>∈</m:t>
        </m:r>
        <m:sSub>
          <m:e>
            <m:r>
              <m:t>E</m:t>
            </m:r>
          </m:e>
          <m:sub>
            <m:r>
              <m:t>t</m:t>
            </m:r>
            <m:r>
              <m:rPr>
                <m:sty m:val="p"/>
              </m:rPr>
              <m:t>+</m:t>
            </m:r>
            <m:r>
              <m:t>1</m:t>
            </m:r>
          </m:sub>
        </m:sSub>
        <m:r>
          <m:rPr>
            <m:sty m:val="p"/>
          </m:rPr>
          <m:t>\</m:t>
        </m:r>
        <m:sSub>
          <m:e>
            <m:r>
              <m:t>E</m:t>
            </m:r>
          </m:e>
          <m:sub>
            <m:r>
              <m:t>t</m:t>
            </m:r>
          </m:sub>
        </m:sSub>
        <m:r>
          <m:rPr>
            <m:sty m:val="p"/>
          </m:rPr>
          <m:t>∣</m:t>
        </m:r>
        <m:r>
          <m:t>u</m:t>
        </m:r>
        <m:r>
          <m:rPr>
            <m:sty m:val="p"/>
          </m:rPr>
          <m:t>,</m:t>
        </m:r>
        <m:r>
          <m:t>v</m:t>
        </m:r>
        <m:r>
          <m:rPr>
            <m:sty m:val="p"/>
          </m:rPr>
          <m:t>∈</m:t>
        </m:r>
        <m:sSub>
          <m:e>
            <m:r>
              <m:t>V</m:t>
            </m:r>
          </m:e>
          <m:sub>
            <m:r>
              <m:rPr>
                <m:sty m:val="p"/>
              </m:rPr>
              <m:t>≤</m:t>
            </m:r>
            <m:r>
              <m:t>t</m:t>
            </m:r>
          </m:sub>
        </m:sSub>
        <m:r>
          <m:rPr>
            <m:sty m:val="p"/>
          </m:rPr>
          <m:t>∧</m:t>
        </m:r>
        <m:r>
          <m:rPr>
            <m:sty m:val="p"/>
          </m:rPr>
          <m:t>(</m:t>
        </m:r>
        <m:r>
          <m:t>u</m:t>
        </m:r>
        <m:r>
          <m:rPr>
            <m:sty m:val="p"/>
          </m:rPr>
          <m:t>∉</m:t>
        </m:r>
        <m:sSub>
          <m:e>
            <m:r>
              <m:t>V</m:t>
            </m:r>
          </m:e>
          <m:sub>
            <m:r>
              <m:t>t</m:t>
            </m:r>
          </m:sub>
        </m:sSub>
        <m:r>
          <m:rPr>
            <m:sty m:val="p"/>
          </m:rPr>
          <m:t>∨</m:t>
        </m:r>
        <m:r>
          <m:t>v</m:t>
        </m:r>
        <m:r>
          <m:rPr>
            <m:sty m:val="p"/>
          </m:rPr>
          <m:t>∉</m:t>
        </m:r>
        <m:sSub>
          <m:e>
            <m:r>
              <m:t>V</m:t>
            </m:r>
          </m:e>
          <m:sub>
            <m:r>
              <m:t>t</m:t>
            </m:r>
          </m:sub>
        </m:sSub>
        <m:r>
          <m:rPr>
            <m:sty m:val="p"/>
          </m:rPr>
          <m:t>)</m:t>
        </m:r>
        <m:r>
          <m:rPr>
            <m:sty m:val="p"/>
          </m:rPr>
          <m:t>}</m:t>
        </m:r>
      </m:oMath>
      <w:r>
        <w:t xml:space="preserve">. These represent</w:t>
      </w:r>
      <w:r>
        <w:t xml:space="preserve"> </w:t>
      </w:r>
      <m:oMath>
        <m:r>
          <m:t>18.31</m:t>
        </m:r>
        <m:r>
          <m:rPr>
            <m:sty m:val="p"/>
          </m:rPr>
          <m:t>%</m:t>
        </m:r>
        <m:r>
          <m:rPr>
            <m:sty m:val="p"/>
          </m:rPr>
          <m:t>±</m:t>
        </m:r>
        <m:r>
          <m:t>3.06</m:t>
        </m:r>
        <m:r>
          <m:rPr>
            <m:sty m:val="p"/>
          </m:rPr>
          <m:t>%</m:t>
        </m:r>
      </m:oMath>
      <w:r>
        <w:t xml:space="preserve"> </w:t>
      </w:r>
      <w:r>
        <w:t xml:space="preserve">of target edges on APEX-IDS2026 and</w:t>
      </w:r>
      <w:r>
        <w:t xml:space="preserve"> </w:t>
      </w:r>
      <m:oMath>
        <m:r>
          <m:t>21.19</m:t>
        </m:r>
        <m:r>
          <m:rPr>
            <m:sty m:val="p"/>
          </m:rPr>
          <m:t>%</m:t>
        </m:r>
      </m:oMath>
      <w:r>
        <w:t xml:space="preserve"> </w:t>
      </w:r>
      <w:r>
        <w:t xml:space="preserve">(6,805 edges) on CIC-IDS2017.</w:t>
      </w:r>
      <w:r>
        <w:t xml:space="preserve"> </w:t>
      </w:r>
      <w:r>
        <w:t xml:space="preserve">4.</w:t>
      </w:r>
      <w:r>
        <w:t xml:space="preserve"> </w:t>
      </w:r>
      <w:r>
        <w:rPr>
          <w:b/>
          <w:bCs/>
        </w:rPr>
        <w:t xml:space="preserve">Unseen-Node Edges (</w:t>
      </w:r>
      <m:oMath>
        <m:sSubSup>
          <m:e>
            <m:r>
              <m:t>E</m:t>
            </m:r>
          </m:e>
          <m:sub>
            <m:r>
              <m:t>t</m:t>
            </m:r>
            <m:r>
              <m:rPr>
                <m:sty m:val="p"/>
              </m:rPr>
              <m:t>+</m:t>
            </m:r>
            <m:r>
              <m:t>1</m:t>
            </m:r>
          </m:sub>
          <m:sup>
            <m:r>
              <m:rPr>
                <m:nor/>
                <m:sty m:val="p"/>
              </m:rPr>
              <m:t>unseen</m:t>
            </m:r>
          </m:sup>
        </m:sSubSup>
      </m:oMath>
      <w:r>
        <w:rPr>
          <w:b/>
          <w:bCs/>
        </w:rPr>
        <w:t xml:space="preserve">):</w:t>
      </w:r>
      <w:r>
        <w:t xml:space="preserve"> </w:t>
      </w:r>
      <w:r>
        <w:t xml:space="preserve">Edges where at least one endpoint was never observed in historical telemetry prior to snapshot</w:t>
      </w:r>
      <w:r>
        <w:t xml:space="preserve"> </w:t>
      </w:r>
      <m:oMath>
        <m:r>
          <m:t>t</m:t>
        </m:r>
        <m:r>
          <m:rPr>
            <m:sty m:val="p"/>
          </m:rPr>
          <m:t>+</m:t>
        </m:r>
        <m:r>
          <m:t>1</m:t>
        </m:r>
      </m:oMath>
      <w:r>
        <w:t xml:space="preserve">:</w:t>
      </w:r>
      <w:r>
        <w:t xml:space="preserve"> </w:t>
      </w:r>
      <m:oMath>
        <m:r>
          <m:rPr>
            <m:sty m:val="p"/>
          </m:rPr>
          <m:t>{</m:t>
        </m:r>
        <m:r>
          <m:rPr>
            <m:sty m:val="p"/>
          </m:rPr>
          <m:t>(</m:t>
        </m:r>
        <m:r>
          <m:t>u</m:t>
        </m:r>
        <m:r>
          <m:rPr>
            <m:sty m:val="p"/>
          </m:rPr>
          <m:t>,</m:t>
        </m:r>
        <m:r>
          <m:t>v</m:t>
        </m:r>
        <m:r>
          <m:rPr>
            <m:sty m:val="p"/>
          </m:rPr>
          <m:t>)</m:t>
        </m:r>
        <m:r>
          <m:rPr>
            <m:sty m:val="p"/>
          </m:rPr>
          <m:t>∈</m:t>
        </m:r>
        <m:sSub>
          <m:e>
            <m:r>
              <m:t>E</m:t>
            </m:r>
          </m:e>
          <m:sub>
            <m:r>
              <m:t>t</m:t>
            </m:r>
            <m:r>
              <m:rPr>
                <m:sty m:val="p"/>
              </m:rPr>
              <m:t>+</m:t>
            </m:r>
            <m:r>
              <m:t>1</m:t>
            </m:r>
          </m:sub>
        </m:sSub>
        <m:r>
          <m:rPr>
            <m:sty m:val="p"/>
          </m:rPr>
          <m:t>∣</m:t>
        </m:r>
        <m:r>
          <m:t>u</m:t>
        </m:r>
        <m:r>
          <m:rPr>
            <m:sty m:val="p"/>
          </m:rPr>
          <m:t>∉</m:t>
        </m:r>
        <m:sSub>
          <m:e>
            <m:r>
              <m:t>V</m:t>
            </m:r>
          </m:e>
          <m:sub>
            <m:r>
              <m:rPr>
                <m:sty m:val="p"/>
              </m:rPr>
              <m:t>≤</m:t>
            </m:r>
            <m:r>
              <m:t>t</m:t>
            </m:r>
          </m:sub>
        </m:sSub>
        <m:r>
          <m:rPr>
            <m:sty m:val="p"/>
          </m:rPr>
          <m:t>∨</m:t>
        </m:r>
        <m:r>
          <m:t>v</m:t>
        </m:r>
        <m:r>
          <m:rPr>
            <m:sty m:val="p"/>
          </m:rPr>
          <m:t>∉</m:t>
        </m:r>
        <m:sSub>
          <m:e>
            <m:r>
              <m:t>V</m:t>
            </m:r>
          </m:e>
          <m:sub>
            <m:r>
              <m:rPr>
                <m:sty m:val="p"/>
              </m:rPr>
              <m:t>≤</m:t>
            </m:r>
            <m:r>
              <m:t>t</m:t>
            </m:r>
          </m:sub>
        </m:sSub>
        <m:r>
          <m:rPr>
            <m:sty m:val="p"/>
          </m:rPr>
          <m:t>}</m:t>
        </m:r>
      </m:oMath>
      <w:r>
        <w:t xml:space="preserve">. These represent</w:t>
      </w:r>
      <w:r>
        <w:t xml:space="preserve"> </w:t>
      </w:r>
      <m:oMath>
        <m:r>
          <m:t>9.92</m:t>
        </m:r>
        <m:r>
          <m:rPr>
            <m:sty m:val="p"/>
          </m:rPr>
          <m:t>%</m:t>
        </m:r>
        <m:r>
          <m:rPr>
            <m:sty m:val="p"/>
          </m:rPr>
          <m:t>±</m:t>
        </m:r>
        <m:r>
          <m:t>1.68</m:t>
        </m:r>
        <m:r>
          <m:rPr>
            <m:sty m:val="p"/>
          </m:rPr>
          <m:t>%</m:t>
        </m:r>
      </m:oMath>
      <w:r>
        <w:t xml:space="preserve"> </w:t>
      </w:r>
      <w:r>
        <w:t xml:space="preserve">of target edges on APEX-IDS2026 and</w:t>
      </w:r>
      <w:r>
        <w:t xml:space="preserve"> </w:t>
      </w:r>
      <m:oMath>
        <m:r>
          <m:t>9.48</m:t>
        </m:r>
        <m:r>
          <m:rPr>
            <m:sty m:val="p"/>
          </m:rPr>
          <m:t>%</m:t>
        </m:r>
      </m:oMath>
      <w:r>
        <w:t xml:space="preserve"> </w:t>
      </w:r>
      <w:r>
        <w:t xml:space="preserve">(3,046 edges) on CIC-IDS2017.</w:t>
      </w:r>
    </w:p>
    <w:p>
      <w:pPr>
        <w:pStyle w:val="BodyText"/>
      </w:pPr>
      <w:r>
        <w:t xml:space="preserve">In accordance with dynamic graph benchmarking standards (Poursafaei et al., 2022; Wang et al., 2023), link prediction evaluation is restricted to known-node edges:</w:t>
      </w:r>
    </w:p>
    <w:p>
      <w:pPr>
        <w:pStyle w:val="BodyText"/>
      </w:pPr>
      <m:oMathPara>
        <m:oMathParaPr>
          <m:jc m:val="center"/>
        </m:oMathParaPr>
        <m:oMath>
          <m:sSubSup>
            <m:e>
              <m:r>
                <m:t>E</m:t>
              </m:r>
            </m:e>
            <m:sub>
              <m:r>
                <m:t>t</m:t>
              </m:r>
              <m:r>
                <m:rPr>
                  <m:sty m:val="p"/>
                </m:rPr>
                <m:t>+</m:t>
              </m:r>
              <m:r>
                <m:t>1</m:t>
              </m:r>
            </m:sub>
            <m:sup>
              <m:r>
                <m:rPr>
                  <m:nor/>
                  <m:sty m:val="p"/>
                </m:rPr>
                <m:t>eval</m:t>
              </m:r>
            </m:sup>
          </m:sSubSup>
          <m:r>
            <m:rPr>
              <m:sty m:val="p"/>
            </m:rPr>
            <m:t>=</m:t>
          </m:r>
          <m:sSubSup>
            <m:e>
              <m:r>
                <m:t>E</m:t>
              </m:r>
            </m:e>
            <m:sub>
              <m:r>
                <m:t>t</m:t>
              </m:r>
              <m:r>
                <m:rPr>
                  <m:sty m:val="p"/>
                </m:rPr>
                <m:t>+</m:t>
              </m:r>
              <m:r>
                <m:t>1</m:t>
              </m:r>
            </m:sub>
            <m:sup>
              <m:r>
                <m:rPr>
                  <m:nor/>
                  <m:sty m:val="p"/>
                </m:rPr>
                <m:t>rec</m:t>
              </m:r>
            </m:sup>
          </m:sSubSup>
          <m:r>
            <m:rPr>
              <m:sty m:val="p"/>
            </m:rPr>
            <m:t>∪</m:t>
          </m:r>
          <m:sSubSup>
            <m:e>
              <m:r>
                <m:t>E</m:t>
              </m:r>
            </m:e>
            <m:sub>
              <m:r>
                <m:t>t</m:t>
              </m:r>
              <m:r>
                <m:rPr>
                  <m:sty m:val="p"/>
                </m:rPr>
                <m:t>+</m:t>
              </m:r>
              <m:r>
                <m:t>1</m:t>
              </m:r>
            </m:sub>
            <m:sup>
              <m:r>
                <m:rPr>
                  <m:nor/>
                  <m:sty m:val="p"/>
                </m:rPr>
                <m:t>active</m:t>
              </m:r>
            </m:sup>
          </m:sSubSup>
          <m:r>
            <m:rPr>
              <m:sty m:val="p"/>
            </m:rPr>
            <m:t>∪</m:t>
          </m:r>
          <m:sSubSup>
            <m:e>
              <m:r>
                <m:t>E</m:t>
              </m:r>
            </m:e>
            <m:sub>
              <m:r>
                <m:t>t</m:t>
              </m:r>
              <m:r>
                <m:rPr>
                  <m:sty m:val="p"/>
                </m:rPr>
                <m:t>+</m:t>
              </m:r>
              <m:r>
                <m:t>1</m:t>
              </m:r>
            </m:sub>
            <m:sup>
              <m:r>
                <m:rPr>
                  <m:nor/>
                  <m:sty m:val="p"/>
                </m:rPr>
                <m:t>dormant</m:t>
              </m:r>
            </m:sup>
          </m:sSubSup>
          <m:r>
            <m:rPr>
              <m:sty m:val="p"/>
            </m:rPr>
            <m:t>=</m:t>
          </m:r>
          <m:r>
            <m:rPr>
              <m:sty m:val="p"/>
            </m:rPr>
            <m:t>{</m:t>
          </m:r>
          <m:r>
            <m:rPr>
              <m:sty m:val="p"/>
            </m:rPr>
            <m:t>(</m:t>
          </m:r>
          <m:r>
            <m:t>u</m:t>
          </m:r>
          <m:r>
            <m:rPr>
              <m:sty m:val="p"/>
            </m:rPr>
            <m:t>,</m:t>
          </m:r>
          <m:r>
            <m:t>v</m:t>
          </m:r>
          <m:r>
            <m:rPr>
              <m:sty m:val="p"/>
            </m:rPr>
            <m:t>)</m:t>
          </m:r>
          <m:r>
            <m:rPr>
              <m:sty m:val="p"/>
            </m:rPr>
            <m:t>∈</m:t>
          </m:r>
          <m:sSub>
            <m:e>
              <m:r>
                <m:t>E</m:t>
              </m:r>
            </m:e>
            <m:sub>
              <m:r>
                <m:t>t</m:t>
              </m:r>
              <m:r>
                <m:rPr>
                  <m:sty m:val="p"/>
                </m:rPr>
                <m:t>+</m:t>
              </m:r>
              <m:r>
                <m:t>1</m:t>
              </m:r>
            </m:sub>
          </m:sSub>
          <m:r>
            <m:rPr>
              <m:sty m:val="p"/>
            </m:rPr>
            <m:t>∣</m:t>
          </m:r>
          <m:r>
            <m:t>u</m:t>
          </m:r>
          <m:r>
            <m:rPr>
              <m:sty m:val="p"/>
            </m:rPr>
            <m:t>,</m:t>
          </m:r>
          <m:r>
            <m:t>v</m:t>
          </m:r>
          <m:r>
            <m:rPr>
              <m:sty m:val="p"/>
            </m:rPr>
            <m:t>∈</m:t>
          </m:r>
          <m:sSub>
            <m:e>
              <m:r>
                <m:t>V</m:t>
              </m:r>
            </m:e>
            <m:sub>
              <m:r>
                <m:rPr>
                  <m:sty m:val="p"/>
                </m:rPr>
                <m:t>≤</m:t>
              </m:r>
              <m:r>
                <m:t>t</m:t>
              </m:r>
            </m:sub>
          </m:sSub>
          <m:r>
            <m:rPr>
              <m:sty m:val="p"/>
            </m:rPr>
            <m:t>}</m:t>
          </m:r>
        </m:oMath>
      </m:oMathPara>
    </w:p>
    <w:p>
      <w:pPr>
        <w:pStyle w:val="FirstParagraph"/>
      </w:pPr>
      <w:r>
        <w:t xml:space="preserve">Edges involving unobserved endpoints (</w:t>
      </w:r>
      <m:oMath>
        <m:sSubSup>
          <m:e>
            <m:r>
              <m:t>E</m:t>
            </m:r>
          </m:e>
          <m:sub>
            <m:r>
              <m:t>t</m:t>
            </m:r>
            <m:r>
              <m:rPr>
                <m:sty m:val="p"/>
              </m:rPr>
              <m:t>+</m:t>
            </m:r>
            <m:r>
              <m:t>1</m:t>
            </m:r>
          </m:sub>
          <m:sup>
            <m:r>
              <m:rPr>
                <m:nor/>
                <m:sty m:val="p"/>
              </m:rPr>
              <m:t>unseen</m:t>
            </m:r>
          </m:sup>
        </m:sSubSup>
      </m:oMath>
      <w:r>
        <w:t xml:space="preserve">) are excluded from candidate sets, as pure topological models without attribute inductive bias cannot infer links for unseen nodes without arbitrary guessing. Across evaluated test transitions in the capped benchmark,</w:t>
      </w:r>
      <w:r>
        <w:t xml:space="preserve"> </w:t>
      </w:r>
      <m:oMath>
        <m:r>
          <m:t>77.85</m:t>
        </m:r>
        <m:r>
          <m:rPr>
            <m:sty m:val="p"/>
          </m:rPr>
          <m:t>%</m:t>
        </m:r>
      </m:oMath>
      <w:r>
        <w:t xml:space="preserve"> </w:t>
      </w:r>
      <w:r>
        <w:t xml:space="preserve">(1,557 / 2,000) of positive candidates on CIC-IDS2017 and</w:t>
      </w:r>
      <w:r>
        <w:t xml:space="preserve"> </w:t>
      </w:r>
      <m:oMath>
        <m:r>
          <m:t>79.64</m:t>
        </m:r>
        <m:r>
          <m:rPr>
            <m:sty m:val="p"/>
          </m:rPr>
          <m:t>%</m:t>
        </m:r>
      </m:oMath>
      <w:r>
        <w:t xml:space="preserve"> </w:t>
      </w:r>
      <w:r>
        <w:t xml:space="preserve">(19,113 / 24,000 across 12 test transitions) on APEX-IDS2026 connect hosts that were concurrently active in</w:t>
      </w:r>
      <w:r>
        <w:t xml:space="preserve"> </w:t>
      </w:r>
      <m:oMath>
        <m:sSub>
          <m:e>
            <m:r>
              <m:t>V</m:t>
            </m:r>
          </m:e>
          <m:sub>
            <m:r>
              <m:t>t</m:t>
            </m:r>
          </m:sub>
        </m:sSub>
      </m:oMath>
      <w:r>
        <w:t xml:space="preserve">, while the remaining</w:t>
      </w:r>
      <w:r>
        <w:t xml:space="preserve"> </w:t>
      </w:r>
      <m:oMath>
        <m:r>
          <m:t>22.15</m:t>
        </m:r>
        <m:r>
          <m:rPr>
            <m:sty m:val="p"/>
          </m:rPr>
          <m:t>%</m:t>
        </m:r>
      </m:oMath>
      <w:r>
        <w:t xml:space="preserve"> </w:t>
      </w:r>
      <w:r>
        <w:t xml:space="preserve">(443 / 2,000) on CIC and</w:t>
      </w:r>
      <w:r>
        <w:t xml:space="preserve"> </w:t>
      </w:r>
      <m:oMath>
        <m:r>
          <m:t>20.36</m:t>
        </m:r>
        <m:r>
          <m:rPr>
            <m:sty m:val="p"/>
          </m:rPr>
          <m:t>%</m:t>
        </m:r>
      </m:oMath>
      <w:r>
        <w:t xml:space="preserve"> </w:t>
      </w:r>
      <w:r>
        <w:t xml:space="preserve">(4,887 / 24,000) on APEX involve at least one known endpoint re-emerging from dormancy.</w:t>
      </w:r>
    </w:p>
    <w:bookmarkEnd w:id="22"/>
    <w:bookmarkStart w:id="25" w:name="negative-sampling-regimes"/>
    <w:p>
      <w:pPr>
        <w:pStyle w:val="Heading3"/>
      </w:pPr>
      <w:r>
        <w:t xml:space="preserve">3.3 Negative Sampling Regimes</w:t>
      </w:r>
    </w:p>
    <w:p>
      <w:pPr>
        <w:pStyle w:val="FirstParagraph"/>
      </w:pPr>
      <w:r>
        <w:t xml:space="preserve">To evaluate the impact of negative candidate selection, we enforce two strictly separated regimes:</w:t>
      </w:r>
    </w:p>
    <w:bookmarkStart w:id="23" w:name="setting-a-hard-historical-negatives"/>
    <w:p>
      <w:pPr>
        <w:pStyle w:val="Heading4"/>
      </w:pPr>
      <w:r>
        <w:t xml:space="preserve">Setting A: Hard Historical Negatives</w:t>
      </w:r>
    </w:p>
    <w:p>
      <w:pPr>
        <w:pStyle w:val="FirstParagraph"/>
      </w:pPr>
      <w:r>
        <w:t xml:space="preserve">Negative candidate edges are sampled uniformly without replacement from historically observed links between known endpoints that are inactive in the target snapshot:</w:t>
      </w:r>
    </w:p>
    <w:p>
      <w:pPr>
        <w:pStyle w:val="BodyText"/>
      </w:pPr>
      <m:oMathPara>
        <m:oMathParaPr>
          <m:jc m:val="center"/>
        </m:oMathParaPr>
        <m:oMath>
          <m:sSubSup>
            <m:e>
              <m:r>
                <m:t>E</m:t>
              </m:r>
            </m:e>
            <m:sub>
              <m:r>
                <m:rPr>
                  <m:nor/>
                  <m:sty m:val="p"/>
                </m:rPr>
                <m:t>neg</m:t>
              </m:r>
            </m:sub>
            <m:sup>
              <m:r>
                <m:rPr>
                  <m:nor/>
                  <m:sty m:val="p"/>
                </m:rPr>
                <m:t>hard</m:t>
              </m:r>
            </m:sup>
          </m:sSubSup>
          <m:r>
            <m:rPr>
              <m:sty m:val="p"/>
            </m:rPr>
            <m:t>(</m:t>
          </m:r>
          <m:r>
            <m:t>t</m:t>
          </m:r>
          <m:r>
            <m:rPr>
              <m:sty m:val="p"/>
            </m:rPr>
            <m:t>+</m:t>
          </m:r>
          <m:r>
            <m:t>1</m:t>
          </m:r>
          <m:r>
            <m:rPr>
              <m:sty m:val="p"/>
            </m:rPr>
            <m:t>)</m:t>
          </m:r>
          <m:r>
            <m:rPr>
              <m:sty m:val="p"/>
            </m:rPr>
            <m:t>⊆</m:t>
          </m:r>
          <m:r>
            <m:rPr>
              <m:sty m:val="p"/>
            </m:rPr>
            <m:t>{</m:t>
          </m:r>
          <m:r>
            <m:rPr>
              <m:sty m:val="p"/>
            </m:rPr>
            <m:t>(</m:t>
          </m:r>
          <m:r>
            <m:t>u</m:t>
          </m:r>
          <m:r>
            <m:rPr>
              <m:sty m:val="p"/>
            </m:rPr>
            <m:t>,</m:t>
          </m:r>
          <m:r>
            <m:t>v</m:t>
          </m:r>
          <m:r>
            <m:rPr>
              <m:sty m:val="p"/>
            </m:rPr>
            <m:t>)</m:t>
          </m:r>
          <m:r>
            <m:rPr>
              <m:sty m:val="p"/>
            </m:rPr>
            <m:t>∈</m:t>
          </m:r>
          <m:sSub>
            <m:e>
              <m:r>
                <m:t>E</m:t>
              </m:r>
            </m:e>
            <m:sub>
              <m:r>
                <m:rPr>
                  <m:sty m:val="p"/>
                </m:rPr>
                <m:t>≤</m:t>
              </m:r>
              <m:r>
                <m:t>t</m:t>
              </m:r>
            </m:sub>
          </m:sSub>
          <m:r>
            <m:rPr>
              <m:sty m:val="p"/>
            </m:rPr>
            <m:t>\</m:t>
          </m:r>
          <m:sSub>
            <m:e>
              <m:r>
                <m:t>E</m:t>
              </m:r>
            </m:e>
            <m:sub>
              <m:r>
                <m:t>t</m:t>
              </m:r>
              <m:r>
                <m:rPr>
                  <m:sty m:val="p"/>
                </m:rPr>
                <m:t>+</m:t>
              </m:r>
              <m:r>
                <m:t>1</m:t>
              </m:r>
            </m:sub>
          </m:sSub>
          <m:r>
            <m:rPr>
              <m:sty m:val="p"/>
            </m:rPr>
            <m:t>∣</m:t>
          </m:r>
          <m:r>
            <m:t>u</m:t>
          </m:r>
          <m:r>
            <m:rPr>
              <m:sty m:val="p"/>
            </m:rPr>
            <m:t>,</m:t>
          </m:r>
          <m:r>
            <m:t>v</m:t>
          </m:r>
          <m:r>
            <m:rPr>
              <m:sty m:val="p"/>
            </m:rPr>
            <m:t>∈</m:t>
          </m:r>
          <m:sSub>
            <m:e>
              <m:r>
                <m:t>V</m:t>
              </m:r>
            </m:e>
            <m:sub>
              <m:r>
                <m:rPr>
                  <m:sty m:val="p"/>
                </m:rPr>
                <m:t>≤</m:t>
              </m:r>
              <m:r>
                <m:t>t</m:t>
              </m:r>
            </m:sub>
          </m:sSub>
          <m:r>
            <m:rPr>
              <m:sty m:val="p"/>
            </m:rPr>
            <m:t>}</m:t>
          </m:r>
        </m:oMath>
      </m:oMathPara>
    </w:p>
    <w:p>
      <w:pPr>
        <w:pStyle w:val="FirstParagraph"/>
      </w:pPr>
      <w:r>
        <w:t xml:space="preserve">These candidates represent historically observed communication channels that ceased transmission at</w:t>
      </w:r>
      <w:r>
        <w:t xml:space="preserve"> </w:t>
      </w:r>
      <m:oMath>
        <m:r>
          <m:t>t</m:t>
        </m:r>
        <m:r>
          <m:rPr>
            <m:sty m:val="p"/>
          </m:rPr>
          <m:t>+</m:t>
        </m:r>
        <m:r>
          <m:t>1</m:t>
        </m:r>
      </m:oMath>
      <w:r>
        <w:t xml:space="preserve">. In Setting A, endpoint eligibility is strictly symmetric with positive candidates: both classes are sampled from the historical universe</w:t>
      </w:r>
      <w:r>
        <w:t xml:space="preserve"> </w:t>
      </w:r>
      <m:oMath>
        <m:sSub>
          <m:e>
            <m:r>
              <m:t>V</m:t>
            </m:r>
          </m:e>
          <m:sub>
            <m:r>
              <m:rPr>
                <m:sty m:val="p"/>
              </m:rPr>
              <m:t>≤</m:t>
            </m:r>
            <m:r>
              <m:t>t</m:t>
            </m:r>
          </m:sub>
        </m:sSub>
        <m:r>
          <m:rPr>
            <m:sty m:val="p"/>
          </m:rPr>
          <m:t>×</m:t>
        </m:r>
        <m:sSub>
          <m:e>
            <m:r>
              <m:t>V</m:t>
            </m:r>
          </m:e>
          <m:sub>
            <m:r>
              <m:rPr>
                <m:sty m:val="p"/>
              </m:rPr>
              <m:t>≤</m:t>
            </m:r>
            <m:r>
              <m:t>t</m:t>
            </m:r>
          </m:sub>
        </m:sSub>
      </m:oMath>
      <w:r>
        <w:t xml:space="preserve">. This directly evaluates the model’s ability to detect temporal link extinction rather than simply distinguishing known active edges from arbitrary non-communicating hosts.</w:t>
      </w:r>
    </w:p>
    <w:bookmarkEnd w:id="23"/>
    <w:bookmarkStart w:id="24" w:name="setting-b-mixed-random-negatives"/>
    <w:p>
      <w:pPr>
        <w:pStyle w:val="Heading4"/>
      </w:pPr>
      <w:r>
        <w:t xml:space="preserve">Setting B: Mixed Random Negatives</w:t>
      </w:r>
    </w:p>
    <w:p>
      <w:pPr>
        <w:pStyle w:val="FirstParagraph"/>
      </w:pPr>
      <w:r>
        <w:t xml:space="preserve">Negative candidate edges are sampled uniformly without replacement from non-edges between hosts active in the current snapshot:</w:t>
      </w:r>
    </w:p>
    <w:p>
      <w:pPr>
        <w:pStyle w:val="BodyText"/>
      </w:pPr>
      <m:oMathPara>
        <m:oMathParaPr>
          <m:jc m:val="center"/>
        </m:oMathParaPr>
        <m:oMath>
          <m:sSubSup>
            <m:e>
              <m:r>
                <m:t>E</m:t>
              </m:r>
            </m:e>
            <m:sub>
              <m:r>
                <m:rPr>
                  <m:nor/>
                  <m:sty m:val="p"/>
                </m:rPr>
                <m:t>neg</m:t>
              </m:r>
            </m:sub>
            <m:sup>
              <m:r>
                <m:rPr>
                  <m:nor/>
                  <m:sty m:val="p"/>
                </m:rPr>
                <m:t>mixed</m:t>
              </m:r>
            </m:sup>
          </m:sSubSup>
          <m:r>
            <m:rPr>
              <m:sty m:val="p"/>
            </m:rPr>
            <m:t>(</m:t>
          </m:r>
          <m:r>
            <m:t>t</m:t>
          </m:r>
          <m:r>
            <m:rPr>
              <m:sty m:val="p"/>
            </m:rPr>
            <m:t>+</m:t>
          </m:r>
          <m:r>
            <m:t>1</m:t>
          </m:r>
          <m:r>
            <m:rPr>
              <m:sty m:val="p"/>
            </m:rPr>
            <m:t>)</m:t>
          </m:r>
          <m:r>
            <m:rPr>
              <m:sty m:val="p"/>
            </m:rPr>
            <m:t>⊆</m:t>
          </m:r>
          <m:r>
            <m:rPr>
              <m:sty m:val="p"/>
            </m:rPr>
            <m:t>{</m:t>
          </m:r>
          <m:r>
            <m:rPr>
              <m:sty m:val="p"/>
            </m:rPr>
            <m:t>(</m:t>
          </m:r>
          <m:r>
            <m:t>u</m:t>
          </m:r>
          <m:r>
            <m:rPr>
              <m:sty m:val="p"/>
            </m:rPr>
            <m:t>,</m:t>
          </m:r>
          <m:r>
            <m:t>v</m:t>
          </m:r>
          <m:r>
            <m:rPr>
              <m:sty m:val="p"/>
            </m:rPr>
            <m:t>)</m:t>
          </m:r>
          <m:r>
            <m:rPr>
              <m:sty m:val="p"/>
            </m:rPr>
            <m:t>∈</m:t>
          </m:r>
          <m:sSub>
            <m:e>
              <m:r>
                <m:t>V</m:t>
              </m:r>
            </m:e>
            <m:sub>
              <m:r>
                <m:t>t</m:t>
              </m:r>
            </m:sub>
          </m:sSub>
          <m:r>
            <m:rPr>
              <m:sty m:val="p"/>
            </m:rPr>
            <m:t>×</m:t>
          </m:r>
          <m:sSub>
            <m:e>
              <m:r>
                <m:t>V</m:t>
              </m:r>
            </m:e>
            <m:sub>
              <m:r>
                <m:t>t</m:t>
              </m:r>
            </m:sub>
          </m:sSub>
          <m:r>
            <m:rPr>
              <m:sty m:val="p"/>
            </m:rPr>
            <m:t>∣</m:t>
          </m:r>
          <m:r>
            <m:rPr>
              <m:sty m:val="p"/>
            </m:rPr>
            <m:t>(</m:t>
          </m:r>
          <m:r>
            <m:t>u</m:t>
          </m:r>
          <m:r>
            <m:rPr>
              <m:sty m:val="p"/>
            </m:rPr>
            <m:t>,</m:t>
          </m:r>
          <m:r>
            <m:t>v</m:t>
          </m:r>
          <m:r>
            <m:rPr>
              <m:sty m:val="p"/>
            </m:rPr>
            <m:t>)</m:t>
          </m:r>
          <m:r>
            <m:rPr>
              <m:sty m:val="p"/>
            </m:rPr>
            <m:t>∉</m:t>
          </m:r>
          <m:sSub>
            <m:e>
              <m:r>
                <m:t>E</m:t>
              </m:r>
            </m:e>
            <m:sub>
              <m:r>
                <m:t>t</m:t>
              </m:r>
              <m:r>
                <m:rPr>
                  <m:sty m:val="p"/>
                </m:rPr>
                <m:t>+</m:t>
              </m:r>
              <m:r>
                <m:t>1</m:t>
              </m:r>
            </m:sub>
          </m:sSub>
          <m:r>
            <m:rPr>
              <m:sty m:val="p"/>
            </m:rPr>
            <m:t>,</m:t>
          </m:r>
          <m:r>
            <m:t>u</m:t>
          </m:r>
          <m:r>
            <m:rPr>
              <m:sty m:val="p"/>
            </m:rPr>
            <m:t>≠</m:t>
          </m:r>
          <m:r>
            <m:t>v</m:t>
          </m:r>
          <m:r>
            <m:rPr>
              <m:sty m:val="p"/>
            </m:rPr>
            <m:t>}</m:t>
          </m:r>
        </m:oMath>
      </m:oMathPara>
    </w:p>
    <w:p>
      <w:pPr>
        <w:pStyle w:val="FirstParagraph"/>
      </w:pPr>
      <w:r>
        <w:t xml:space="preserve">Crucially, Setting B samples negatives from</w:t>
      </w:r>
      <w:r>
        <w:t xml:space="preserve"> </w:t>
      </w:r>
      <m:oMath>
        <m:sSub>
          <m:e>
            <m:r>
              <m:t>V</m:t>
            </m:r>
          </m:e>
          <m:sub>
            <m:r>
              <m:t>t</m:t>
            </m:r>
          </m:sub>
        </m:sSub>
        <m:r>
          <m:rPr>
            <m:sty m:val="p"/>
          </m:rPr>
          <m:t>×</m:t>
        </m:r>
        <m:sSub>
          <m:e>
            <m:r>
              <m:t>V</m:t>
            </m:r>
          </m:e>
          <m:sub>
            <m:r>
              <m:t>t</m:t>
            </m:r>
          </m:sub>
        </m:sSub>
      </m:oMath>
      <w:r>
        <w:t xml:space="preserve"> </w:t>
      </w:r>
      <w:r>
        <w:t xml:space="preserve">(active nodes in snapshot</w:t>
      </w:r>
      <w:r>
        <w:t xml:space="preserve"> </w:t>
      </w:r>
      <m:oMath>
        <m:r>
          <m:t>t</m:t>
        </m:r>
      </m:oMath>
      <w:r>
        <w:t xml:space="preserve">) rather than the full historical node universe</w:t>
      </w:r>
      <w:r>
        <w:t xml:space="preserve"> </w:t>
      </w:r>
      <m:oMath>
        <m:sSub>
          <m:e>
            <m:r>
              <m:t>V</m:t>
            </m:r>
          </m:e>
          <m:sub>
            <m:r>
              <m:rPr>
                <m:sty m:val="p"/>
              </m:rPr>
              <m:t>≤</m:t>
            </m:r>
            <m:r>
              <m:t>t</m:t>
            </m:r>
          </m:sub>
        </m:sSub>
        <m:r>
          <m:rPr>
            <m:sty m:val="p"/>
          </m:rPr>
          <m:t>×</m:t>
        </m:r>
        <m:sSub>
          <m:e>
            <m:r>
              <m:t>V</m:t>
            </m:r>
          </m:e>
          <m:sub>
            <m:r>
              <m:rPr>
                <m:sty m:val="p"/>
              </m:rPr>
              <m:t>≤</m:t>
            </m:r>
            <m:r>
              <m:t>t</m:t>
            </m:r>
          </m:sub>
        </m:sSub>
      </m:oMath>
      <w:r>
        <w:t xml:space="preserve">. Restricting the candidate pool to currently transmitting hosts ensures that evaluated negative candidates represent concurrently active network participants rather than arbitrary pairs of hosts that have ceased communicating.</w:t>
      </w:r>
    </w:p>
    <w:p>
      <w:pPr>
        <w:pStyle w:val="BodyText"/>
      </w:pPr>
      <w:r>
        <w:rPr>
          <w:b/>
          <w:bCs/>
        </w:rPr>
        <w:t xml:space="preserve">Candidate-Universe Asymmetry Limitation in Setting B:</w:t>
      </w:r>
      <w:r>
        <w:t xml:space="preserve"> </w:t>
      </w:r>
      <w:r>
        <w:t xml:space="preserve">This formulation introduces an important operational asymmetry: while positive candidates in Setting B are drawn from</w:t>
      </w:r>
      <w:r>
        <w:t xml:space="preserve"> </w:t>
      </w:r>
      <m:oMath>
        <m:sSubSup>
          <m:e>
            <m:r>
              <m:t>E</m:t>
            </m:r>
          </m:e>
          <m:sub>
            <m:r>
              <m:t>t</m:t>
            </m:r>
            <m:r>
              <m:rPr>
                <m:sty m:val="p"/>
              </m:rPr>
              <m:t>+</m:t>
            </m:r>
            <m:r>
              <m:t>1</m:t>
            </m:r>
          </m:sub>
          <m:sup>
            <m:r>
              <m:rPr>
                <m:nor/>
                <m:sty m:val="p"/>
              </m:rPr>
              <m:t>eval</m:t>
            </m:r>
          </m:sup>
        </m:sSubSup>
      </m:oMath>
      <w:r>
        <w:t xml:space="preserve"> </w:t>
      </w:r>
      <w:r>
        <w:t xml:space="preserve">(which includes a</w:t>
      </w:r>
      <w:r>
        <w:t xml:space="preserve"> </w:t>
      </w:r>
      <m:oMath>
        <m:r>
          <m:rPr>
            <m:sty m:val="p"/>
          </m:rPr>
          <m:t>≈</m:t>
        </m:r>
        <m:r>
          <m:t>18</m:t>
        </m:r>
        <m:r>
          <m:rPr>
            <m:sty m:val="p"/>
          </m:rPr>
          <m:t>−</m:t>
        </m:r>
        <m:r>
          <m:t>21</m:t>
        </m:r>
        <m:r>
          <m:rPr>
            <m:sty m:val="p"/>
          </m:rPr>
          <m:t>%</m:t>
        </m:r>
      </m:oMath>
      <w:r>
        <w:t xml:space="preserve"> </w:t>
      </w:r>
      <w:r>
        <w:t xml:space="preserve">minority of re-emerging historical nodes from</w:t>
      </w:r>
      <w:r>
        <w:t xml:space="preserve"> </w:t>
      </w:r>
      <m:oMath>
        <m:sSub>
          <m:e>
            <m:r>
              <m:t>V</m:t>
            </m:r>
          </m:e>
          <m:sub>
            <m:r>
              <m:rPr>
                <m:sty m:val="p"/>
              </m:rPr>
              <m:t>&lt;</m:t>
            </m:r>
            <m:r>
              <m:t>t</m:t>
            </m:r>
          </m:sub>
        </m:sSub>
        <m:r>
          <m:rPr>
            <m:sty m:val="p"/>
          </m:rPr>
          <m:t>\</m:t>
        </m:r>
        <m:sSub>
          <m:e>
            <m:r>
              <m:t>V</m:t>
            </m:r>
          </m:e>
          <m:sub>
            <m:r>
              <m:t>t</m:t>
            </m:r>
          </m:sub>
        </m:sSub>
      </m:oMath>
      <w:r>
        <w:t xml:space="preserve">), negative candidates are drawn exclusively from</w:t>
      </w:r>
      <w:r>
        <w:t xml:space="preserve"> </w:t>
      </w:r>
      <m:oMath>
        <m:sSub>
          <m:e>
            <m:r>
              <m:t>V</m:t>
            </m:r>
          </m:e>
          <m:sub>
            <m:r>
              <m:t>t</m:t>
            </m:r>
          </m:sub>
        </m:sSub>
        <m:r>
          <m:rPr>
            <m:sty m:val="p"/>
          </m:rPr>
          <m:t>×</m:t>
        </m:r>
        <m:sSub>
          <m:e>
            <m:r>
              <m:t>V</m:t>
            </m:r>
          </m:e>
          <m:sub>
            <m:r>
              <m:t>t</m:t>
            </m:r>
          </m:sub>
        </m:sSub>
      </m:oMath>
      <w:r>
        <w:t xml:space="preserve">. Consequently, negative candidates in Setting B never contain dormant historical endpoints. Expanding Setting B negatives to the entire historical universe</w:t>
      </w:r>
      <w:r>
        <w:t xml:space="preserve"> </w:t>
      </w:r>
      <m:oMath>
        <m:sSub>
          <m:e>
            <m:r>
              <m:t>V</m:t>
            </m:r>
          </m:e>
          <m:sub>
            <m:r>
              <m:rPr>
                <m:sty m:val="p"/>
              </m:rPr>
              <m:t>≤</m:t>
            </m:r>
            <m:r>
              <m:t>t</m:t>
            </m:r>
          </m:sub>
        </m:sSub>
        <m:r>
          <m:rPr>
            <m:sty m:val="p"/>
          </m:rPr>
          <m:t>×</m:t>
        </m:r>
        <m:sSub>
          <m:e>
            <m:r>
              <m:t>V</m:t>
            </m:r>
          </m:e>
          <m:sub>
            <m:r>
              <m:rPr>
                <m:sty m:val="p"/>
              </m:rPr>
              <m:t>≤</m:t>
            </m:r>
            <m:r>
              <m:t>t</m:t>
            </m:r>
          </m:sub>
        </m:sSub>
      </m:oMath>
      <w:r>
        <w:t xml:space="preserve"> </w:t>
      </w:r>
      <w:r>
        <w:t xml:space="preserve">would dilute the negative candidate pool into extreme sparsity dominated by long-dead endpoints, whereas restricting positive candidates strictly to</w:t>
      </w:r>
      <w:r>
        <w:t xml:space="preserve"> </w:t>
      </w:r>
      <m:oMath>
        <m:sSub>
          <m:e>
            <m:r>
              <m:t>V</m:t>
            </m:r>
          </m:e>
          <m:sub>
            <m:r>
              <m:t>t</m:t>
            </m:r>
          </m:sub>
        </m:sSub>
        <m:r>
          <m:rPr>
            <m:sty m:val="p"/>
          </m:rPr>
          <m:t>×</m:t>
        </m:r>
        <m:sSub>
          <m:e>
            <m:r>
              <m:t>V</m:t>
            </m:r>
          </m:e>
          <m:sub>
            <m:r>
              <m:t>t</m:t>
            </m:r>
          </m:sub>
        </m:sSub>
      </m:oMath>
      <w:r>
        <w:t xml:space="preserve"> </w:t>
      </w:r>
      <w:r>
        <w:t xml:space="preserve">would discard over 18% of legitimate re-emerging enterprise communications as out of scope. For snapshot-local baselines (Persistence, Common Neighbors, Jaccard), any candidate containing a dormant endpoint in</w:t>
      </w:r>
      <w:r>
        <w:t xml:space="preserve"> </w:t>
      </w:r>
      <m:oMath>
        <m:sSub>
          <m:e>
            <m:r>
              <m:t>G</m:t>
            </m:r>
          </m:e>
          <m:sub>
            <m:r>
              <m:t>t</m:t>
            </m:r>
          </m:sub>
        </m:sSub>
      </m:oMath>
      <w:r>
        <w:t xml:space="preserve"> </w:t>
      </w:r>
      <w:r>
        <w:t xml:space="preserve">has zero local degree and automatically receives a score of 0, structurally capping their positive recall. Conversely, memory baselines and global neural models can score dormant pairs, but Setting B’s negative set does not measure their discrimination on dormant non-edges. We report this candidate-universe asymmetry as an explicit methodological limitation rather than claiming unseen-node or candidate-universe concerns are fully resolved.</w:t>
      </w:r>
    </w:p>
    <w:p>
      <w:pPr>
        <w:pStyle w:val="BodyText"/>
      </w:pPr>
      <w:r>
        <w:t xml:space="preserve">In both settings, candidate datasets maintain an exact</w:t>
      </w:r>
      <w:r>
        <w:t xml:space="preserve"> </w:t>
      </w:r>
      <m:oMath>
        <m:r>
          <m:t>1</m:t>
        </m:r>
        <m:r>
          <m:rPr>
            <m:sty m:val="p"/>
          </m:rPr>
          <m:t>:</m:t>
        </m:r>
        <m:r>
          <m:t>1</m:t>
        </m:r>
      </m:oMath>
      <w:r>
        <w:t xml:space="preserve"> </w:t>
      </w:r>
      <w:r>
        <w:t xml:space="preserve">positive-to-negative ratio (</w:t>
      </w:r>
      <m:oMath>
        <m:r>
          <m:t>K</m:t>
        </m:r>
        <m:r>
          <m:rPr>
            <m:sty m:val="p"/>
          </m:rPr>
          <m:t>=</m:t>
        </m:r>
        <m:r>
          <m:rPr>
            <m:sty m:val="p"/>
          </m:rPr>
          <m:t>min</m:t>
        </m:r>
        <m:r>
          <m:rPr>
            <m:sty m:val="p"/>
          </m:rPr>
          <m:t>(</m:t>
        </m:r>
        <m:r>
          <m:rPr>
            <m:sty m:val="p"/>
          </m:rPr>
          <m:t>|</m:t>
        </m:r>
        <m:sSubSup>
          <m:e>
            <m:r>
              <m:t>E</m:t>
            </m:r>
          </m:e>
          <m:sub>
            <m:r>
              <m:t>t</m:t>
            </m:r>
            <m:r>
              <m:rPr>
                <m:sty m:val="p"/>
              </m:rPr>
              <m:t>+</m:t>
            </m:r>
            <m:r>
              <m:t>1</m:t>
            </m:r>
          </m:sub>
          <m:sup>
            <m:r>
              <m:rPr>
                <m:nor/>
                <m:sty m:val="p"/>
              </m:rPr>
              <m:t>eval</m:t>
            </m:r>
          </m:sup>
        </m:sSubSup>
        <m:r>
          <m:rPr>
            <m:sty m:val="p"/>
          </m:rPr>
          <m:t>|</m:t>
        </m:r>
        <m:r>
          <m:rPr>
            <m:sty m:val="p"/>
          </m:rPr>
          <m:t>,</m:t>
        </m:r>
        <m:r>
          <m:t>2000</m:t>
        </m:r>
        <m:r>
          <m:rPr>
            <m:sty m:val="p"/>
          </m:rPr>
          <m:t>)</m:t>
        </m:r>
      </m:oMath>
      <w:r>
        <w:t xml:space="preserve"> </w:t>
      </w:r>
      <w:r>
        <w:t xml:space="preserve">candidates per class), preventing class-balance shifts between settings. Duplicate candidates, self-loops, and silent negative padding are strictly prohibited; sampling fails with an explicit exception if insufficient unique candidates exist. Candidate pools are stably sorted in lexicographical order prior to sampling or shuffling, ensuring 100% deterministic, process-independent candidate generation across different Python processes regardless of</w:t>
      </w:r>
      <w:r>
        <w:t xml:space="preserve"> </w:t>
      </w:r>
      <w:r>
        <w:rPr>
          <w:rStyle w:val="VerbatimChar"/>
        </w:rPr>
        <w:t xml:space="preserve">PYTHONHASHSEED</w:t>
      </w:r>
      <w:r>
        <w:t xml:space="preserve">. Within each seed run, candidate positive and negative sets are strictly identical across all evaluated models. Across seeds, negative non-edge draws vary deterministically with the PRNG seed (</w:t>
      </w:r>
      <w:r>
        <w:rPr>
          <w:rStyle w:val="VerbatimChar"/>
        </w:rPr>
        <w:t xml:space="preserve">seed + t</w:t>
      </w:r>
      <w:r>
        <w:t xml:space="preserve"> </w:t>
      </w:r>
      <w:r>
        <w:t xml:space="preserve">and</w:t>
      </w:r>
      <w:r>
        <w:t xml:space="preserve"> </w:t>
      </w:r>
      <w:r>
        <w:rPr>
          <w:rStyle w:val="VerbatimChar"/>
        </w:rPr>
        <w:t xml:space="preserve">seed + 200 + t</w:t>
      </w:r>
      <w:r>
        <w:t xml:space="preserve">) to capture candidate sampling sensitivity.</w:t>
      </w:r>
    </w:p>
    <w:bookmarkEnd w:id="24"/>
    <w:bookmarkEnd w:id="25"/>
    <w:bookmarkStart w:id="28" w:name="X63952b2e23998963232964f5e8e8f445c7f3ecb"/>
    <w:p>
      <w:pPr>
        <w:pStyle w:val="Heading3"/>
      </w:pPr>
      <w:r>
        <w:t xml:space="preserve">3.4 Evaluated Predictive Models &amp; Baseline Formulations</w:t>
      </w:r>
    </w:p>
    <w:p>
      <w:pPr>
        <w:pStyle w:val="FirstParagraph"/>
      </w:pPr>
      <w:r>
        <w:t xml:space="preserve">We benchmark eight distinct predictive models spanning memory heuristics, topological proximity heuristics, and recurrent graph neural networks.</w:t>
      </w:r>
    </w:p>
    <w:bookmarkStart w:id="26" w:name="memory-heuristics"/>
    <w:p>
      <w:pPr>
        <w:pStyle w:val="Heading4"/>
      </w:pPr>
      <w:r>
        <w:t xml:space="preserve">Memory Heuristics</w:t>
      </w:r>
    </w:p>
    <w:p>
      <w:pPr>
        <w:pStyle w:val="Compact"/>
        <w:numPr>
          <w:ilvl w:val="0"/>
          <w:numId w:val="1002"/>
        </w:numPr>
      </w:pPr>
      <w:r>
        <w:rPr>
          <w:b/>
          <w:bCs/>
        </w:rPr>
        <w:t xml:space="preserve">Persistence:</w:t>
      </w:r>
      <w:r>
        <w:t xml:space="preserve"> </w:t>
      </w:r>
      <w:r>
        <w:t xml:space="preserve">Predicts that edges active in the immediate preceding snapshot will persist into the next:</w:t>
      </w:r>
    </w:p>
    <w:p>
      <w:pPr>
        <w:pStyle w:val="Compact"/>
      </w:pPr>
      <m:oMathPara>
        <m:oMathParaPr>
          <m:jc m:val="center"/>
        </m:oMathParaPr>
        <m:oMath>
          <m:sSub>
            <m:e>
              <m:acc>
                <m:accPr>
                  <m:chr m:val="̂"/>
                </m:accPr>
                <m:e>
                  <m:r>
                    <m:t>y</m:t>
                  </m:r>
                </m:e>
              </m:acc>
            </m:e>
            <m:sub>
              <m:r>
                <m:rPr>
                  <m:nor/>
                  <m:sty m:val="p"/>
                </m:rPr>
                <m:t>pers</m:t>
              </m:r>
            </m:sub>
          </m:sSub>
          <m:r>
            <m:rPr>
              <m:sty m:val="p"/>
            </m:rPr>
            <m:t>(</m:t>
          </m:r>
          <m:r>
            <m:t>u</m:t>
          </m:r>
          <m:r>
            <m:rPr>
              <m:sty m:val="p"/>
            </m:rPr>
            <m:t>,</m:t>
          </m:r>
          <m:r>
            <m:t>v</m:t>
          </m:r>
          <m:r>
            <m:rPr>
              <m:sty m:val="p"/>
            </m:rPr>
            <m:t>)</m:t>
          </m:r>
          <m:r>
            <m:rPr>
              <m:sty m:val="p"/>
            </m:rPr>
            <m:t>=</m:t>
          </m:r>
          <m:r>
            <m:rPr>
              <m:scr m:val="double-struck"/>
              <m:sty m:val="p"/>
            </m:rPr>
            <m:t>I</m:t>
          </m:r>
          <m:r>
            <m:rPr>
              <m:sty m:val="p"/>
            </m:rPr>
            <m:t>[</m:t>
          </m:r>
          <m:r>
            <m:rPr>
              <m:sty m:val="p"/>
            </m:rPr>
            <m:t>(</m:t>
          </m:r>
          <m:r>
            <m:t>u</m:t>
          </m:r>
          <m:r>
            <m:rPr>
              <m:sty m:val="p"/>
            </m:rPr>
            <m:t>,</m:t>
          </m:r>
          <m:r>
            <m:t>v</m:t>
          </m:r>
          <m:r>
            <m:rPr>
              <m:sty m:val="p"/>
            </m:rPr>
            <m:t>)</m:t>
          </m:r>
          <m:r>
            <m:rPr>
              <m:sty m:val="p"/>
            </m:rPr>
            <m:t>∈</m:t>
          </m:r>
          <m:sSub>
            <m:e>
              <m:r>
                <m:t>E</m:t>
              </m:r>
            </m:e>
            <m:sub>
              <m:r>
                <m:t>t</m:t>
              </m:r>
            </m:sub>
          </m:sSub>
          <m:r>
            <m:rPr>
              <m:sty m:val="p"/>
            </m:rPr>
            <m:t>]</m:t>
          </m:r>
        </m:oMath>
      </m:oMathPara>
    </w:p>
    <w:p>
      <w:pPr>
        <w:pStyle w:val="Compact"/>
        <w:numPr>
          <w:ilvl w:val="0"/>
          <w:numId w:val="1002"/>
        </w:numPr>
      </w:pPr>
      <w:r>
        <w:rPr>
          <w:b/>
          <w:bCs/>
        </w:rPr>
        <w:t xml:space="preserve">EdgeBank-∞ (Binary &amp; Frequency):</w:t>
      </w:r>
      <w:r>
        <w:t xml:space="preserve"> </w:t>
      </w:r>
      <w:r>
        <w:t xml:space="preserve">Implements unbounded historical memory (Poursafaei et al., 2022). Binary mode predicts edge presence if observed at any point in historical telemetry:</w:t>
      </w:r>
    </w:p>
    <w:p>
      <w:pPr>
        <w:pStyle w:val="Compact"/>
      </w:pPr>
      <m:oMathPara>
        <m:oMathParaPr>
          <m:jc m:val="center"/>
        </m:oMathParaPr>
        <m:oMath>
          <m:sSub>
            <m:e>
              <m:acc>
                <m:accPr>
                  <m:chr m:val="̂"/>
                </m:accPr>
                <m:e>
                  <m:r>
                    <m:t>y</m:t>
                  </m:r>
                </m:e>
              </m:acc>
            </m:e>
            <m:sub>
              <m:r>
                <m:rPr>
                  <m:nor/>
                  <m:sty m:val="p"/>
                </m:rPr>
                <m:t>eb-bin</m:t>
              </m:r>
            </m:sub>
          </m:sSub>
          <m:r>
            <m:rPr>
              <m:sty m:val="p"/>
            </m:rPr>
            <m:t>(</m:t>
          </m:r>
          <m:r>
            <m:t>u</m:t>
          </m:r>
          <m:r>
            <m:rPr>
              <m:sty m:val="p"/>
            </m:rPr>
            <m:t>,</m:t>
          </m:r>
          <m:r>
            <m:t>v</m:t>
          </m:r>
          <m:r>
            <m:rPr>
              <m:sty m:val="p"/>
            </m:rPr>
            <m:t>)</m:t>
          </m:r>
          <m:r>
            <m:rPr>
              <m:sty m:val="p"/>
            </m:rPr>
            <m:t>=</m:t>
          </m:r>
          <m:r>
            <m:rPr>
              <m:scr m:val="double-struck"/>
              <m:sty m:val="p"/>
            </m:rPr>
            <m:t>I</m:t>
          </m:r>
          <m:r>
            <m:rPr>
              <m:sty m:val="p"/>
            </m:rPr>
            <m:t>[</m:t>
          </m:r>
          <m:r>
            <m:rPr>
              <m:sty m:val="p"/>
            </m:rPr>
            <m:t>(</m:t>
          </m:r>
          <m:r>
            <m:t>u</m:t>
          </m:r>
          <m:r>
            <m:rPr>
              <m:sty m:val="p"/>
            </m:rPr>
            <m:t>,</m:t>
          </m:r>
          <m:r>
            <m:t>v</m:t>
          </m:r>
          <m:r>
            <m:rPr>
              <m:sty m:val="p"/>
            </m:rPr>
            <m:t>)</m:t>
          </m:r>
          <m:r>
            <m:rPr>
              <m:sty m:val="p"/>
            </m:rPr>
            <m:t>∈</m:t>
          </m:r>
          <m:sSub>
            <m:e>
              <m:r>
                <m:t>E</m:t>
              </m:r>
            </m:e>
            <m:sub>
              <m:r>
                <m:rPr>
                  <m:sty m:val="p"/>
                </m:rPr>
                <m:t>≤</m:t>
              </m:r>
              <m:r>
                <m:t>t</m:t>
              </m:r>
            </m:sub>
          </m:sSub>
          <m:r>
            <m:rPr>
              <m:sty m:val="p"/>
            </m:rPr>
            <m:t>]</m:t>
          </m:r>
        </m:oMath>
      </m:oMathPara>
    </w:p>
    <w:p>
      <w:pPr>
        <w:pStyle w:val="Compact"/>
        <w:numPr>
          <w:ilvl w:val="0"/>
          <w:numId w:val="1000"/>
        </w:numPr>
      </w:pPr>
      <w:r>
        <w:t xml:space="preserve">Frequency mode scores edges by their historical snapshot recurrence frequency:</w:t>
      </w:r>
    </w:p>
    <w:p>
      <w:pPr>
        <w:pStyle w:val="Compact"/>
      </w:pPr>
      <m:oMathPara>
        <m:oMathParaPr>
          <m:jc m:val="center"/>
        </m:oMathParaPr>
        <m:oMath>
          <m:sSub>
            <m:e>
              <m:r>
                <m:t>s</m:t>
              </m:r>
            </m:e>
            <m:sub>
              <m:r>
                <m:rPr>
                  <m:nor/>
                  <m:sty m:val="p"/>
                </m:rPr>
                <m:t>eb-freq</m:t>
              </m:r>
            </m:sub>
          </m:sSub>
          <m:r>
            <m:rPr>
              <m:sty m:val="p"/>
            </m:rPr>
            <m:t>(</m:t>
          </m:r>
          <m:r>
            <m:t>u</m:t>
          </m:r>
          <m:r>
            <m:rPr>
              <m:sty m:val="p"/>
            </m:rPr>
            <m:t>,</m:t>
          </m:r>
          <m:r>
            <m:t>v</m:t>
          </m:r>
          <m:r>
            <m:rPr>
              <m:sty m:val="p"/>
            </m:rPr>
            <m:t>)</m:t>
          </m:r>
          <m:r>
            <m:rPr>
              <m:sty m:val="p"/>
            </m:rPr>
            <m:t>=</m:t>
          </m:r>
          <m:f>
            <m:fPr>
              <m:type m:val="bar"/>
            </m:fPr>
            <m:num>
              <m:r>
                <m:t>1</m:t>
              </m:r>
            </m:num>
            <m:den>
              <m:r>
                <m:t>t</m:t>
              </m:r>
              <m:r>
                <m:rPr>
                  <m:sty m:val="p"/>
                </m:rPr>
                <m:t>+</m:t>
              </m:r>
              <m:r>
                <m:t>1</m:t>
              </m:r>
            </m:den>
          </m:f>
          <m:nary>
            <m:naryPr>
              <m:chr m:val="∑"/>
              <m:limLoc m:val="undOvr"/>
              <m:subHide m:val="off"/>
              <m:supHide m:val="off"/>
            </m:naryPr>
            <m:sub>
              <m:r>
                <m:t>τ</m:t>
              </m:r>
              <m:r>
                <m:rPr>
                  <m:sty m:val="p"/>
                </m:rPr>
                <m:t>=</m:t>
              </m:r>
              <m:r>
                <m:t>0</m:t>
              </m:r>
            </m:sub>
            <m:sup>
              <m:r>
                <m:t>t</m:t>
              </m:r>
            </m:sup>
            <m:e>
              <m:r>
                <m:rPr>
                  <m:scr m:val="double-struck"/>
                  <m:sty m:val="p"/>
                </m:rPr>
                <m:t>I</m:t>
              </m:r>
            </m:e>
          </m:nary>
          <m:r>
            <m:rPr>
              <m:sty m:val="p"/>
            </m:rPr>
            <m:t>[</m:t>
          </m:r>
          <m:r>
            <m:rPr>
              <m:sty m:val="p"/>
            </m:rPr>
            <m:t>(</m:t>
          </m:r>
          <m:r>
            <m:t>u</m:t>
          </m:r>
          <m:r>
            <m:rPr>
              <m:sty m:val="p"/>
            </m:rPr>
            <m:t>,</m:t>
          </m:r>
          <m:r>
            <m:t>v</m:t>
          </m:r>
          <m:r>
            <m:rPr>
              <m:sty m:val="p"/>
            </m:rPr>
            <m:t>)</m:t>
          </m:r>
          <m:r>
            <m:rPr>
              <m:sty m:val="p"/>
            </m:rPr>
            <m:t>∈</m:t>
          </m:r>
          <m:sSub>
            <m:e>
              <m:r>
                <m:t>E</m:t>
              </m:r>
            </m:e>
            <m:sub>
              <m:r>
                <m:t>τ</m:t>
              </m:r>
            </m:sub>
          </m:sSub>
          <m:r>
            <m:rPr>
              <m:sty m:val="p"/>
            </m:rPr>
            <m:t>]</m:t>
          </m:r>
        </m:oMath>
      </m:oMathPara>
    </w:p>
    <w:p>
      <w:pPr>
        <w:pStyle w:val="Compact"/>
        <w:numPr>
          <w:ilvl w:val="0"/>
          <w:numId w:val="1002"/>
        </w:numPr>
      </w:pPr>
      <w:r>
        <w:rPr>
          <w:b/>
          <w:bCs/>
        </w:rPr>
        <w:t xml:space="preserve">EdgeBank-tw (Time-Windowed Memory):</w:t>
      </w:r>
      <w:r>
        <w:t xml:space="preserve"> </w:t>
      </w:r>
      <w:r>
        <w:t xml:space="preserve">Maintains a sliding window over the last</w:t>
      </w:r>
      <w:r>
        <w:t xml:space="preserve"> </w:t>
      </w:r>
      <m:oMath>
        <m:r>
          <m:t>W</m:t>
        </m:r>
      </m:oMath>
      <w:r>
        <w:t xml:space="preserve"> </w:t>
      </w:r>
      <w:r>
        <w:t xml:space="preserve">snapshots:</w:t>
      </w:r>
    </w:p>
    <w:p>
      <w:pPr>
        <w:pStyle w:val="Compact"/>
      </w:pPr>
      <m:oMathPara>
        <m:oMathParaPr>
          <m:jc m:val="center"/>
        </m:oMathParaPr>
        <m:oMath>
          <m:sSubSup>
            <m:e>
              <m:r>
                <m:t>M</m:t>
              </m:r>
            </m:e>
            <m:sub>
              <m:r>
                <m:t>t</m:t>
              </m:r>
            </m:sub>
            <m:sup>
              <m:r>
                <m:rPr>
                  <m:sty m:val="p"/>
                </m:rPr>
                <m:t>(</m:t>
              </m:r>
              <m:r>
                <m:t>W</m:t>
              </m:r>
              <m:r>
                <m:rPr>
                  <m:sty m:val="p"/>
                </m:rPr>
                <m:t>)</m:t>
              </m:r>
            </m:sup>
          </m:sSubSup>
          <m:r>
            <m:rPr>
              <m:sty m:val="p"/>
            </m:rPr>
            <m:t>=</m:t>
          </m:r>
          <m:limLow>
            <m:e>
              <m:limUpp>
                <m:e>
                  <m:r>
                    <m:rPr>
                      <m:sty m:val="p"/>
                    </m:rPr>
                    <m:t>⋃</m:t>
                  </m:r>
                </m:e>
                <m:lim>
                  <m:r>
                    <m:t>t</m:t>
                  </m:r>
                </m:lim>
              </m:limUpp>
            </m:e>
            <m:lim>
              <m:r>
                <m:t>τ</m:t>
              </m:r>
              <m:r>
                <m:rPr>
                  <m:sty m:val="p"/>
                </m:rPr>
                <m:t>=</m:t>
              </m:r>
              <m:r>
                <m:t>t</m:t>
              </m:r>
              <m:r>
                <m:rPr>
                  <m:sty m:val="p"/>
                </m:rPr>
                <m:t>−</m:t>
              </m:r>
              <m:r>
                <m:t>W</m:t>
              </m:r>
              <m:r>
                <m:rPr>
                  <m:sty m:val="p"/>
                </m:rPr>
                <m:t>+</m:t>
              </m:r>
              <m:r>
                <m:t>1</m:t>
              </m:r>
            </m:lim>
          </m:limLow>
          <m:sSub>
            <m:e>
              <m:r>
                <m:t>E</m:t>
              </m:r>
            </m:e>
            <m:sub>
              <m:r>
                <m:t>τ</m:t>
              </m:r>
            </m:sub>
          </m:sSub>
          <m:r>
            <m:rPr>
              <m:sty m:val="p"/>
            </m:rPr>
            <m:t>,</m:t>
          </m:r>
          <m:r>
            <m:t> </m:t>
          </m:r>
          <m:sSub>
            <m:e>
              <m:acc>
                <m:accPr>
                  <m:chr m:val="̂"/>
                </m:accPr>
                <m:e>
                  <m:r>
                    <m:t>y</m:t>
                  </m:r>
                </m:e>
              </m:acc>
            </m:e>
            <m:sub>
              <m:r>
                <m:rPr>
                  <m:nor/>
                  <m:sty m:val="p"/>
                </m:rPr>
                <m:t>eb-tw</m:t>
              </m:r>
            </m:sub>
          </m:sSub>
          <m:r>
            <m:rPr>
              <m:sty m:val="p"/>
            </m:rPr>
            <m:t>(</m:t>
          </m:r>
          <m:r>
            <m:t>u</m:t>
          </m:r>
          <m:r>
            <m:rPr>
              <m:sty m:val="p"/>
            </m:rPr>
            <m:t>,</m:t>
          </m:r>
          <m:r>
            <m:t>v</m:t>
          </m:r>
          <m:r>
            <m:rPr>
              <m:sty m:val="p"/>
            </m:rPr>
            <m:t>)</m:t>
          </m:r>
          <m:r>
            <m:rPr>
              <m:sty m:val="p"/>
            </m:rPr>
            <m:t>=</m:t>
          </m:r>
          <m:r>
            <m:rPr>
              <m:scr m:val="double-struck"/>
              <m:sty m:val="p"/>
            </m:rPr>
            <m:t>I</m:t>
          </m:r>
          <m:r>
            <m:rPr>
              <m:sty m:val="p"/>
            </m:rPr>
            <m:t>[</m:t>
          </m:r>
          <m:r>
            <m:rPr>
              <m:sty m:val="p"/>
            </m:rPr>
            <m:t>(</m:t>
          </m:r>
          <m:r>
            <m:t>u</m:t>
          </m:r>
          <m:r>
            <m:rPr>
              <m:sty m:val="p"/>
            </m:rPr>
            <m:t>,</m:t>
          </m:r>
          <m:r>
            <m:t>v</m:t>
          </m:r>
          <m:r>
            <m:rPr>
              <m:sty m:val="p"/>
            </m:rPr>
            <m:t>)</m:t>
          </m:r>
          <m:r>
            <m:rPr>
              <m:sty m:val="p"/>
            </m:rPr>
            <m:t>∈</m:t>
          </m:r>
          <m:sSubSup>
            <m:e>
              <m:r>
                <m:t>M</m:t>
              </m:r>
            </m:e>
            <m:sub>
              <m:r>
                <m:t>t</m:t>
              </m:r>
            </m:sub>
            <m:sup>
              <m:r>
                <m:rPr>
                  <m:sty m:val="p"/>
                </m:rPr>
                <m:t>(</m:t>
              </m:r>
              <m:r>
                <m:t>W</m:t>
              </m:r>
              <m:r>
                <m:rPr>
                  <m:sty m:val="p"/>
                </m:rPr>
                <m:t>)</m:t>
              </m:r>
            </m:sup>
          </m:sSubSup>
          <m:r>
            <m:rPr>
              <m:sty m:val="p"/>
            </m:rPr>
            <m:t>]</m:t>
          </m:r>
        </m:oMath>
      </m:oMathPara>
    </w:p>
    <w:p>
      <w:pPr>
        <w:pStyle w:val="Compact"/>
        <w:numPr>
          <w:ilvl w:val="0"/>
          <w:numId w:val="1000"/>
        </w:numPr>
      </w:pPr>
      <w:r>
        <w:t xml:space="preserve">We evaluate</w:t>
      </w:r>
      <w:r>
        <w:t xml:space="preserve"> </w:t>
      </w:r>
      <m:oMath>
        <m:r>
          <m:t>W</m:t>
        </m:r>
        <m:r>
          <m:rPr>
            <m:sty m:val="p"/>
          </m:rPr>
          <m:t>=</m:t>
        </m:r>
        <m:r>
          <m:t>2</m:t>
        </m:r>
      </m:oMath>
      <w:r>
        <w:t xml:space="preserve"> </w:t>
      </w:r>
      <w:r>
        <w:t xml:space="preserve">snapshots, selected</w:t>
      </w:r>
      <w:r>
        <w:t xml:space="preserve"> </w:t>
      </w:r>
      <w:r>
        <w:rPr>
          <w:i/>
          <w:iCs/>
        </w:rPr>
        <w:t xml:space="preserve">a priori</w:t>
      </w:r>
      <w:r>
        <w:t xml:space="preserve"> </w:t>
      </w:r>
      <w:r>
        <w:t xml:space="preserve">without test-split tuning.</w:t>
      </w:r>
    </w:p>
    <w:bookmarkEnd w:id="26"/>
    <w:bookmarkStart w:id="27" w:name="topological-proximity-heuristics"/>
    <w:p>
      <w:pPr>
        <w:pStyle w:val="Heading4"/>
      </w:pPr>
      <w:r>
        <w:t xml:space="preserve">Topological Proximity Heuristics</w:t>
      </w:r>
    </w:p>
    <w:p>
      <w:pPr>
        <w:pStyle w:val="FirstParagraph"/>
      </w:pPr>
      <w:r>
        <w:t xml:space="preserve">Heuristic models evaluate the local structural proximity of endpoints in</w:t>
      </w:r>
      <w:r>
        <w:t xml:space="preserve"> </w:t>
      </w:r>
      <m:oMath>
        <m:sSub>
          <m:e>
            <m:r>
              <m:t>G</m:t>
            </m:r>
          </m:e>
          <m:sub>
            <m:r>
              <m:t>t</m:t>
            </m:r>
          </m:sub>
        </m:sSub>
      </m:oMath>
      <w:r>
        <w:t xml:space="preserve">, adapting foundational topological link-prediction measures (Liben-Nowell &amp; Kleinberg, 2007):</w:t>
      </w:r>
      <w:r>
        <w:t xml:space="preserve"> </w:t>
      </w:r>
      <w:r>
        <w:t xml:space="preserve">*</w:t>
      </w:r>
      <w:r>
        <w:t xml:space="preserve"> </w:t>
      </w:r>
      <w:r>
        <w:rPr>
          <w:b/>
          <w:bCs/>
        </w:rPr>
        <w:t xml:space="preserve">Common Neighbors (Directed):</w:t>
      </w:r>
      <w:r>
        <w:t xml:space="preserve"> </w:t>
      </w:r>
      <w:r>
        <w:t xml:space="preserve">Evaluates directed two-hop path existence (out-neighbors of</w:t>
      </w:r>
      <w:r>
        <w:t xml:space="preserve"> </w:t>
      </w:r>
      <m:oMath>
        <m:r>
          <m:t>u</m:t>
        </m:r>
      </m:oMath>
      <w:r>
        <w:t xml:space="preserve"> </w:t>
      </w:r>
      <w:r>
        <w:t xml:space="preserve">overlapping with in-neighbors of</w:t>
      </w:r>
      <w:r>
        <w:t xml:space="preserve"> </w:t>
      </w:r>
      <m:oMath>
        <m:r>
          <m:t>v</m:t>
        </m:r>
      </m:oMath>
      <w:r>
        <w:t xml:space="preserve">):</w:t>
      </w:r>
    </w:p>
    <w:p>
      <w:pPr>
        <w:pStyle w:val="BodyText"/>
      </w:pPr>
      <m:oMathPara>
        <m:oMathParaPr>
          <m:jc m:val="center"/>
        </m:oMathParaPr>
        <m:oMath>
          <m:sSub>
            <m:e>
              <m:r>
                <m:t>s</m:t>
              </m:r>
            </m:e>
            <m:sub>
              <m:r>
                <m:rPr>
                  <m:nor/>
                  <m:sty m:val="p"/>
                </m:rPr>
                <m:t>CN</m:t>
              </m:r>
            </m:sub>
          </m:sSub>
          <m:r>
            <m:rPr>
              <m:sty m:val="p"/>
            </m:rPr>
            <m:t>(</m:t>
          </m:r>
          <m:r>
            <m:t>u</m:t>
          </m:r>
          <m:r>
            <m:rPr>
              <m:sty m:val="p"/>
            </m:rPr>
            <m:t>,</m:t>
          </m:r>
          <m:r>
            <m:t>v</m:t>
          </m:r>
          <m:r>
            <m:rPr>
              <m:sty m:val="p"/>
            </m:rPr>
            <m:t>)</m:t>
          </m:r>
          <m:r>
            <m:rPr>
              <m:sty m:val="p"/>
            </m:rPr>
            <m:t>=</m:t>
          </m:r>
          <m:r>
            <m:rPr>
              <m:sty m:val="p"/>
            </m:rPr>
            <m:t>|</m:t>
          </m:r>
          <m:sSub>
            <m:e>
              <m:r>
                <m:t>N</m:t>
              </m:r>
            </m:e>
            <m:sub>
              <m:r>
                <m:rPr>
                  <m:nor/>
                  <m:sty m:val="p"/>
                </m:rPr>
                <m:t>out</m:t>
              </m:r>
            </m:sub>
          </m:sSub>
          <m:r>
            <m:rPr>
              <m:sty m:val="p"/>
            </m:rPr>
            <m:t>(</m:t>
          </m:r>
          <m:r>
            <m:t>u</m:t>
          </m:r>
          <m:r>
            <m:rPr>
              <m:sty m:val="p"/>
            </m:rPr>
            <m:t>)</m:t>
          </m:r>
          <m:r>
            <m:rPr>
              <m:sty m:val="p"/>
            </m:rPr>
            <m:t>∩</m:t>
          </m:r>
          <m:sSub>
            <m:e>
              <m:r>
                <m:t>N</m:t>
              </m:r>
            </m:e>
            <m:sub>
              <m:r>
                <m:rPr>
                  <m:nor/>
                  <m:sty m:val="p"/>
                </m:rPr>
                <m:t>in</m:t>
              </m:r>
            </m:sub>
          </m:sSub>
          <m:r>
            <m:rPr>
              <m:sty m:val="p"/>
            </m:rPr>
            <m:t>(</m:t>
          </m:r>
          <m:r>
            <m:t>v</m:t>
          </m:r>
          <m:r>
            <m:rPr>
              <m:sty m:val="p"/>
            </m:rPr>
            <m:t>)</m:t>
          </m:r>
          <m:r>
            <m:rPr>
              <m:sty m:val="p"/>
            </m:rPr>
            <m:t>|</m:t>
          </m:r>
        </m:oMath>
      </m:oMathPara>
    </w:p>
    <w:p>
      <w:pPr>
        <w:pStyle w:val="FirstParagraph"/>
      </w:pPr>
      <w:r>
        <w:t xml:space="preserve">*</w:t>
      </w:r>
      <w:r>
        <w:t xml:space="preserve"> </w:t>
      </w:r>
      <w:r>
        <w:rPr>
          <w:b/>
          <w:bCs/>
        </w:rPr>
        <w:t xml:space="preserve">Jaccard Coefficient (Undirected):</w:t>
      </w:r>
      <w:r>
        <w:t xml:space="preserve"> </w:t>
      </w:r>
      <w:r>
        <w:t xml:space="preserve">Evaluates neighbor overlap normalized by total degree:</w:t>
      </w:r>
    </w:p>
    <w:p>
      <w:pPr>
        <w:pStyle w:val="BodyText"/>
      </w:pPr>
      <m:oMathPara>
        <m:oMathParaPr>
          <m:jc m:val="center"/>
        </m:oMathParaPr>
        <m:oMath>
          <m:sSub>
            <m:e>
              <m:r>
                <m:t>s</m:t>
              </m:r>
            </m:e>
            <m:sub>
              <m:r>
                <m:rPr>
                  <m:nor/>
                  <m:sty m:val="p"/>
                </m:rPr>
                <m:t>JC</m:t>
              </m:r>
            </m:sub>
          </m:sSub>
          <m:r>
            <m:rPr>
              <m:sty m:val="p"/>
            </m:rPr>
            <m:t>(</m:t>
          </m:r>
          <m:r>
            <m:t>u</m:t>
          </m:r>
          <m:r>
            <m:rPr>
              <m:sty m:val="p"/>
            </m:rPr>
            <m:t>,</m:t>
          </m:r>
          <m:r>
            <m:t>v</m:t>
          </m:r>
          <m:r>
            <m:rPr>
              <m:sty m:val="p"/>
            </m:rPr>
            <m:t>)</m:t>
          </m:r>
          <m:r>
            <m:rPr>
              <m:sty m:val="p"/>
            </m:rPr>
            <m:t>=</m:t>
          </m:r>
          <m:f>
            <m:fPr>
              <m:type m:val="bar"/>
            </m:fPr>
            <m:num>
              <m:r>
                <m:rPr>
                  <m:sty m:val="p"/>
                </m:rPr>
                <m:t>|</m:t>
              </m:r>
              <m:r>
                <m:t>N</m:t>
              </m:r>
              <m:r>
                <m:rPr>
                  <m:sty m:val="p"/>
                </m:rPr>
                <m:t>(</m:t>
              </m:r>
              <m:r>
                <m:t>u</m:t>
              </m:r>
              <m:r>
                <m:rPr>
                  <m:sty m:val="p"/>
                </m:rPr>
                <m:t>)</m:t>
              </m:r>
              <m:r>
                <m:rPr>
                  <m:sty m:val="p"/>
                </m:rPr>
                <m:t>∩</m:t>
              </m:r>
              <m:r>
                <m:t>N</m:t>
              </m:r>
              <m:r>
                <m:rPr>
                  <m:sty m:val="p"/>
                </m:rPr>
                <m:t>(</m:t>
              </m:r>
              <m:r>
                <m:t>v</m:t>
              </m:r>
              <m:r>
                <m:rPr>
                  <m:sty m:val="p"/>
                </m:rPr>
                <m:t>)</m:t>
              </m:r>
              <m:r>
                <m:rPr>
                  <m:sty m:val="p"/>
                </m:rPr>
                <m:t>|</m:t>
              </m:r>
            </m:num>
            <m:den>
              <m:r>
                <m:rPr>
                  <m:sty m:val="p"/>
                </m:rPr>
                <m:t>|</m:t>
              </m:r>
              <m:r>
                <m:t>N</m:t>
              </m:r>
              <m:r>
                <m:rPr>
                  <m:sty m:val="p"/>
                </m:rPr>
                <m:t>(</m:t>
              </m:r>
              <m:r>
                <m:t>u</m:t>
              </m:r>
              <m:r>
                <m:rPr>
                  <m:sty m:val="p"/>
                </m:rPr>
                <m:t>)</m:t>
              </m:r>
              <m:r>
                <m:rPr>
                  <m:sty m:val="p"/>
                </m:rPr>
                <m:t>∪</m:t>
              </m:r>
              <m:r>
                <m:t>N</m:t>
              </m:r>
              <m:r>
                <m:rPr>
                  <m:sty m:val="p"/>
                </m:rPr>
                <m:t>(</m:t>
              </m:r>
              <m:r>
                <m:t>v</m:t>
              </m:r>
              <m:r>
                <m:rPr>
                  <m:sty m:val="p"/>
                </m:rPr>
                <m:t>)</m:t>
              </m:r>
              <m:r>
                <m:rPr>
                  <m:sty m:val="p"/>
                </m:rPr>
                <m:t>|</m:t>
              </m:r>
            </m:den>
          </m:f>
        </m:oMath>
      </m:oMathPara>
    </w:p>
    <w:p>
      <w:pPr>
        <w:pStyle w:val="FirstParagraph"/>
      </w:pPr>
      <w:r>
        <w:t xml:space="preserve">*</w:t>
      </w:r>
      <w:r>
        <w:t xml:space="preserve"> </w:t>
      </w:r>
      <w:r>
        <w:rPr>
          <w:b/>
          <w:bCs/>
        </w:rPr>
        <w:t xml:space="preserve">Adamic-Adar (Undirected):</w:t>
      </w:r>
      <w:r>
        <w:t xml:space="preserve"> </w:t>
      </w:r>
      <w:r>
        <w:t xml:space="preserve">Penalizes high-degree shared neighbors:</w:t>
      </w:r>
    </w:p>
    <w:p>
      <w:pPr>
        <w:pStyle w:val="BodyText"/>
      </w:pPr>
      <m:oMathPara>
        <m:oMathParaPr>
          <m:jc m:val="center"/>
        </m:oMathParaPr>
        <m:oMath>
          <m:sSub>
            <m:e>
              <m:r>
                <m:t>s</m:t>
              </m:r>
            </m:e>
            <m:sub>
              <m:r>
                <m:rPr>
                  <m:nor/>
                  <m:sty m:val="p"/>
                </m:rPr>
                <m:t>AA</m:t>
              </m:r>
            </m:sub>
          </m:sSub>
          <m:r>
            <m:rPr>
              <m:sty m:val="p"/>
            </m:rPr>
            <m:t>(</m:t>
          </m:r>
          <m:r>
            <m:t>u</m:t>
          </m:r>
          <m:r>
            <m:rPr>
              <m:sty m:val="p"/>
            </m:rPr>
            <m:t>,</m:t>
          </m:r>
          <m:r>
            <m:t>v</m:t>
          </m:r>
          <m:r>
            <m:rPr>
              <m:sty m:val="p"/>
            </m:rPr>
            <m:t>)</m:t>
          </m:r>
          <m:r>
            <m:rPr>
              <m:sty m:val="p"/>
            </m:rPr>
            <m:t>=</m:t>
          </m:r>
          <m:nary>
            <m:naryPr>
              <m:chr m:val="∑"/>
              <m:limLoc m:val="undOvr"/>
              <m:subHide m:val="off"/>
              <m:supHide m:val="on"/>
            </m:naryPr>
            <m:sub>
              <m:r>
                <m:t>z</m:t>
              </m:r>
              <m:r>
                <m:rPr>
                  <m:sty m:val="p"/>
                </m:rPr>
                <m:t>∈</m:t>
              </m:r>
              <m:r>
                <m:t>N</m:t>
              </m:r>
              <m:r>
                <m:rPr>
                  <m:sty m:val="p"/>
                </m:rPr>
                <m:t>(</m:t>
              </m:r>
              <m:r>
                <m:t>u</m:t>
              </m:r>
              <m:r>
                <m:rPr>
                  <m:sty m:val="p"/>
                </m:rPr>
                <m:t>)</m:t>
              </m:r>
              <m:r>
                <m:rPr>
                  <m:sty m:val="p"/>
                </m:rPr>
                <m:t>∩</m:t>
              </m:r>
              <m:r>
                <m:t>N</m:t>
              </m:r>
              <m:r>
                <m:rPr>
                  <m:sty m:val="p"/>
                </m:rPr>
                <m:t>(</m:t>
              </m:r>
              <m:r>
                <m:t>v</m:t>
              </m:r>
              <m:r>
                <m:rPr>
                  <m:sty m:val="p"/>
                </m:rPr>
                <m:t>)</m:t>
              </m:r>
            </m:sub>
            <m:sup>
              <m:r>
                <m:t>​</m:t>
              </m:r>
            </m:sup>
            <m:e>
              <m:f>
                <m:fPr>
                  <m:type m:val="bar"/>
                </m:fPr>
                <m:num>
                  <m:r>
                    <m:t>1</m:t>
                  </m:r>
                </m:num>
                <m:den>
                  <m:r>
                    <m:rPr>
                      <m:sty m:val="p"/>
                    </m:rPr>
                    <m:t>log</m:t>
                  </m:r>
                  <m:r>
                    <m:rPr>
                      <m:sty m:val="p"/>
                    </m:rPr>
                    <m:t>|</m:t>
                  </m:r>
                  <m:r>
                    <m:t>N</m:t>
                  </m:r>
                  <m:r>
                    <m:rPr>
                      <m:sty m:val="p"/>
                    </m:rPr>
                    <m:t>(</m:t>
                  </m:r>
                  <m:r>
                    <m:t>z</m:t>
                  </m:r>
                  <m:r>
                    <m:rPr>
                      <m:sty m:val="p"/>
                    </m:rPr>
                    <m:t>)</m:t>
                  </m:r>
                  <m:r>
                    <m:rPr>
                      <m:sty m:val="p"/>
                    </m:rPr>
                    <m:t>|</m:t>
                  </m:r>
                </m:den>
              </m:f>
            </m:e>
          </m:nary>
        </m:oMath>
      </m:oMathPara>
    </w:p>
    <w:p>
      <w:pPr>
        <w:pStyle w:val="FirstParagraph"/>
      </w:pPr>
      <w:r>
        <w:rPr>
          <w:b/>
          <w:bCs/>
        </w:rPr>
        <w:t xml:space="preserve">Thresholding Convention &amp; Baseline Behavior:</w:t>
      </w:r>
      <w:r>
        <w:t xml:space="preserve"> </w:t>
      </w:r>
      <w:r>
        <w:t xml:space="preserve">For discrete integer heuristic scores (Common Neighbors), the decision threshold is fixed at</w:t>
      </w:r>
      <w:r>
        <w:t xml:space="preserve"> </w:t>
      </w:r>
      <m:oMath>
        <m:r>
          <m:t>τ</m:t>
        </m:r>
        <m:r>
          <m:rPr>
            <m:sty m:val="p"/>
          </m:rPr>
          <m:t>=</m:t>
        </m:r>
        <m:r>
          <m:t>1.0</m:t>
        </m:r>
      </m:oMath>
      <w:r>
        <w:t xml:space="preserve">, predicting an edge if at least one shared directed two-hop path exists (</w:t>
      </w:r>
      <m:oMath>
        <m:sSub>
          <m:e>
            <m:r>
              <m:t>s</m:t>
            </m:r>
          </m:e>
          <m:sub>
            <m:r>
              <m:rPr>
                <m:nor/>
                <m:sty m:val="p"/>
              </m:rPr>
              <m:t>CN</m:t>
            </m:r>
          </m:sub>
        </m:sSub>
        <m:r>
          <m:rPr>
            <m:sty m:val="p"/>
          </m:rPr>
          <m:t>≥</m:t>
        </m:r>
        <m:r>
          <m:t>1</m:t>
        </m:r>
      </m:oMath>
      <w:r>
        <w:t xml:space="preserve">). For Persistence and EdgeBank binary baselines, the canonical threshold is</w:t>
      </w:r>
      <w:r>
        <w:t xml:space="preserve"> </w:t>
      </w:r>
      <m:oMath>
        <m:r>
          <m:t>τ</m:t>
        </m:r>
        <m:r>
          <m:rPr>
            <m:sty m:val="p"/>
          </m:rPr>
          <m:t>=</m:t>
        </m:r>
        <m:r>
          <m:t>0.5</m:t>
        </m:r>
      </m:oMath>
      <w:r>
        <w:t xml:space="preserve">. In the benchmark script,</w:t>
      </w:r>
      <w:r>
        <w:t xml:space="preserve"> </w:t>
      </w:r>
      <m:oMath>
        <m:r>
          <m:t>τ</m:t>
        </m:r>
        <m:r>
          <m:rPr>
            <m:sty m:val="p"/>
          </m:rPr>
          <m:t>=</m:t>
        </m:r>
        <m:r>
          <m:t>1.0</m:t>
        </m:r>
      </m:oMath>
      <w:r>
        <w:t xml:space="preserve"> </w:t>
      </w:r>
      <w:r>
        <w:t xml:space="preserve">is also applied to continuous topological heuristics (Adamic-Adar and Jaccard Coefficient). For Adamic-Adar, scores represent continuous degree-weighted contributions</w:t>
      </w:r>
      <w:r>
        <w:t xml:space="preserve"> </w:t>
      </w:r>
      <m:oMath>
        <m:sSub>
          <m:e>
            <m:r>
              <m:t>s</m:t>
            </m:r>
          </m:e>
          <m:sub>
            <m:r>
              <m:rPr>
                <m:nor/>
                <m:sty m:val="p"/>
              </m:rPr>
              <m:t>AA</m:t>
            </m:r>
          </m:sub>
        </m:sSub>
        <m:r>
          <m:rPr>
            <m:sty m:val="p"/>
          </m:rPr>
          <m:t>(</m:t>
        </m:r>
        <m:r>
          <m:t>u</m:t>
        </m:r>
        <m:r>
          <m:rPr>
            <m:sty m:val="p"/>
          </m:rPr>
          <m:t>,</m:t>
        </m:r>
        <m:r>
          <m:t>v</m:t>
        </m:r>
        <m:r>
          <m:rPr>
            <m:sty m:val="p"/>
          </m:rPr>
          <m:t>)</m:t>
        </m:r>
        <m:r>
          <m:rPr>
            <m:sty m:val="p"/>
          </m:rPr>
          <m:t>=</m:t>
        </m:r>
        <m:nary>
          <m:naryPr>
            <m:chr m:val="∑"/>
            <m:limLoc m:val="undOvr"/>
            <m:subHide m:val="off"/>
            <m:supHide m:val="on"/>
          </m:naryPr>
          <m:sub>
            <m:r>
              <m:t>z</m:t>
            </m:r>
            <m:r>
              <m:rPr>
                <m:sty m:val="p"/>
              </m:rPr>
              <m:t>∈</m:t>
            </m:r>
            <m:r>
              <m:t>N</m:t>
            </m:r>
            <m:r>
              <m:rPr>
                <m:sty m:val="p"/>
              </m:rPr>
              <m:t>(</m:t>
            </m:r>
            <m:r>
              <m:t>u</m:t>
            </m:r>
            <m:r>
              <m:rPr>
                <m:sty m:val="p"/>
              </m:rPr>
              <m:t>)</m:t>
            </m:r>
            <m:r>
              <m:rPr>
                <m:sty m:val="p"/>
              </m:rPr>
              <m:t>∩</m:t>
            </m:r>
            <m:r>
              <m:t>N</m:t>
            </m:r>
            <m:r>
              <m:rPr>
                <m:sty m:val="p"/>
              </m:rPr>
              <m:t>(</m:t>
            </m:r>
            <m:r>
              <m:t>v</m:t>
            </m:r>
            <m:r>
              <m:rPr>
                <m:sty m:val="p"/>
              </m:rPr>
              <m:t>)</m:t>
            </m:r>
            <m:r>
              <m:rPr>
                <m:sty m:val="p"/>
              </m:rPr>
              <m:t>,</m:t>
            </m:r>
            <m:r>
              <m:rPr>
                <m:nor/>
                <m:sty m:val="p"/>
              </m:rPr>
              <m:t>deg</m:t>
            </m:r>
            <m:r>
              <m:rPr>
                <m:sty m:val="p"/>
              </m:rPr>
              <m:t>(</m:t>
            </m:r>
            <m:r>
              <m:t>z</m:t>
            </m:r>
            <m:r>
              <m:rPr>
                <m:sty m:val="p"/>
              </m:rPr>
              <m:t>)</m:t>
            </m:r>
            <m:r>
              <m:rPr>
                <m:sty m:val="p"/>
              </m:rPr>
              <m:t>&gt;</m:t>
            </m:r>
            <m:r>
              <m:t>1</m:t>
            </m:r>
          </m:sub>
          <m:sup>
            <m:r>
              <m:t>​</m:t>
            </m:r>
          </m:sup>
          <m:e>
            <m:f>
              <m:fPr>
                <m:type m:val="bar"/>
              </m:fPr>
              <m:num>
                <m:r>
                  <m:t>1</m:t>
                </m:r>
              </m:num>
              <m:den>
                <m:r>
                  <m:rPr>
                    <m:sty m:val="p"/>
                  </m:rPr>
                  <m:t>ln</m:t>
                </m:r>
                <m:r>
                  <m:rPr>
                    <m:nor/>
                    <m:sty m:val="p"/>
                  </m:rPr>
                  <m:t>deg</m:t>
                </m:r>
                <m:r>
                  <m:rPr>
                    <m:sty m:val="p"/>
                  </m:rPr>
                  <m:t>(</m:t>
                </m:r>
                <m:r>
                  <m:t>z</m:t>
                </m:r>
                <m:r>
                  <m:rPr>
                    <m:sty m:val="p"/>
                  </m:rPr>
                  <m:t>)</m:t>
                </m:r>
              </m:den>
            </m:f>
          </m:e>
        </m:nary>
      </m:oMath>
      <w:r>
        <w:t xml:space="preserve">. Under</w:t>
      </w:r>
      <w:r>
        <w:t xml:space="preserve"> </w:t>
      </w:r>
      <m:oMath>
        <m:r>
          <m:t>τ</m:t>
        </m:r>
        <m:r>
          <m:rPr>
            <m:sty m:val="p"/>
          </m:rPr>
          <m:t>=</m:t>
        </m:r>
        <m:r>
          <m:t>1.0</m:t>
        </m:r>
      </m:oMath>
      <w:r>
        <w:t xml:space="preserve">, predicting an edge requires either a shared neighbor with low degree (</w:t>
      </w:r>
      <m:oMath>
        <m:r>
          <m:rPr>
            <m:nor/>
            <m:sty m:val="p"/>
          </m:rPr>
          <m:t>deg</m:t>
        </m:r>
        <m:r>
          <m:rPr>
            <m:sty m:val="p"/>
          </m:rPr>
          <m:t>(</m:t>
        </m:r>
        <m:r>
          <m:t>z</m:t>
        </m:r>
        <m:r>
          <m:rPr>
            <m:sty m:val="p"/>
          </m:rPr>
          <m:t>)</m:t>
        </m:r>
        <m:r>
          <m:rPr>
            <m:sty m:val="p"/>
          </m:rPr>
          <m:t>=</m:t>
        </m:r>
        <m:r>
          <m:t>2</m:t>
        </m:r>
      </m:oMath>
      <w:r>
        <w:t xml:space="preserve">, where</w:t>
      </w:r>
      <w:r>
        <w:t xml:space="preserve"> </w:t>
      </w:r>
      <m:oMath>
        <m:r>
          <m:t>1</m:t>
        </m:r>
        <m:r>
          <m:rPr>
            <m:sty m:val="p"/>
          </m:rPr>
          <m:t>/</m:t>
        </m:r>
        <m:r>
          <m:rPr>
            <m:sty m:val="p"/>
          </m:rPr>
          <m:t>ln</m:t>
        </m:r>
        <m:r>
          <m:t>2</m:t>
        </m:r>
        <m:r>
          <m:rPr>
            <m:sty m:val="p"/>
          </m:rPr>
          <m:t>≈</m:t>
        </m:r>
        <m:r>
          <m:t>1.4427</m:t>
        </m:r>
        <m:r>
          <m:rPr>
            <m:sty m:val="p"/>
          </m:rPr>
          <m:t>≥</m:t>
        </m:r>
        <m:r>
          <m:t>1.0</m:t>
        </m:r>
      </m:oMath>
      <w:r>
        <w:t xml:space="preserve">) or multiple shared neighbors summing to</w:t>
      </w:r>
      <w:r>
        <w:t xml:space="preserve"> </w:t>
      </w:r>
      <m:oMath>
        <m:r>
          <m:rPr>
            <m:sty m:val="p"/>
          </m:rPr>
          <m:t>≥</m:t>
        </m:r>
        <m:r>
          <m:t>1.0</m:t>
        </m:r>
      </m:oMath>
      <w:r>
        <w:t xml:space="preserve">. Any single shared neighbor with</w:t>
      </w:r>
      <w:r>
        <w:t xml:space="preserve"> </w:t>
      </w:r>
      <m:oMath>
        <m:r>
          <m:rPr>
            <m:nor/>
            <m:sty m:val="p"/>
          </m:rPr>
          <m:t>deg</m:t>
        </m:r>
        <m:r>
          <m:rPr>
            <m:sty m:val="p"/>
          </m:rPr>
          <m:t>(</m:t>
        </m:r>
        <m:r>
          <m:t>z</m:t>
        </m:r>
        <m:r>
          <m:rPr>
            <m:sty m:val="p"/>
          </m:rPr>
          <m:t>)</m:t>
        </m:r>
        <m:r>
          <m:rPr>
            <m:sty m:val="p"/>
          </m:rPr>
          <m:t>≥</m:t>
        </m:r>
        <m:r>
          <m:t>3</m:t>
        </m:r>
      </m:oMath>
      <w:r>
        <w:t xml:space="preserve"> </w:t>
      </w:r>
      <w:r>
        <w:t xml:space="preserve">yields</w:t>
      </w:r>
      <w:r>
        <w:t xml:space="preserve"> </w:t>
      </w:r>
      <m:oMath>
        <m:r>
          <m:t>1</m:t>
        </m:r>
        <m:r>
          <m:rPr>
            <m:sty m:val="p"/>
          </m:rPr>
          <m:t>/</m:t>
        </m:r>
        <m:r>
          <m:rPr>
            <m:sty m:val="p"/>
          </m:rPr>
          <m:t>ln</m:t>
        </m:r>
        <m:r>
          <m:rPr>
            <m:nor/>
            <m:sty m:val="p"/>
          </m:rPr>
          <m:t>deg</m:t>
        </m:r>
        <m:r>
          <m:rPr>
            <m:sty m:val="p"/>
          </m:rPr>
          <m:t>(</m:t>
        </m:r>
        <m:r>
          <m:t>z</m:t>
        </m:r>
        <m:r>
          <m:rPr>
            <m:sty m:val="p"/>
          </m:rPr>
          <m:t>)</m:t>
        </m:r>
        <m:r>
          <m:rPr>
            <m:sty m:val="p"/>
          </m:rPr>
          <m:t>≤</m:t>
        </m:r>
        <m:r>
          <m:t>1</m:t>
        </m:r>
        <m:r>
          <m:rPr>
            <m:sty m:val="p"/>
          </m:rPr>
          <m:t>/</m:t>
        </m:r>
        <m:r>
          <m:rPr>
            <m:sty m:val="p"/>
          </m:rPr>
          <m:t>ln</m:t>
        </m:r>
        <m:r>
          <m:t>3</m:t>
        </m:r>
        <m:r>
          <m:rPr>
            <m:sty m:val="p"/>
          </m:rPr>
          <m:t>≈</m:t>
        </m:r>
        <m:r>
          <m:t>0.9102</m:t>
        </m:r>
        <m:r>
          <m:rPr>
            <m:sty m:val="p"/>
          </m:rPr>
          <m:t>&lt;</m:t>
        </m:r>
        <m:r>
          <m:t>1.0</m:t>
        </m:r>
      </m:oMath>
      <w:r>
        <w:t xml:space="preserve"> </w:t>
      </w:r>
      <w:r>
        <w:t xml:space="preserve">and is classified as negative. This property explains why thresholded Adamic-Adar exhibits high precision (</w:t>
      </w:r>
      <m:oMath>
        <m:r>
          <m:t>72.26</m:t>
        </m:r>
        <m:r>
          <m:rPr>
            <m:sty m:val="p"/>
          </m:rPr>
          <m:t>%</m:t>
        </m:r>
        <m:r>
          <m:rPr>
            <m:sty m:val="p"/>
          </m:rPr>
          <m:t>−</m:t>
        </m:r>
        <m:r>
          <m:t>90.47</m:t>
        </m:r>
        <m:r>
          <m:rPr>
            <m:sty m:val="p"/>
          </m:rPr>
          <m:t>%</m:t>
        </m:r>
      </m:oMath>
      <w:r>
        <w:t xml:space="preserve">) but sub-1% recall (</w:t>
      </w:r>
      <m:oMath>
        <m:r>
          <m:t>0.70</m:t>
        </m:r>
        <m:r>
          <m:rPr>
            <m:sty m:val="p"/>
          </m:rPr>
          <m:t>%</m:t>
        </m:r>
        <m:r>
          <m:rPr>
            <m:sty m:val="p"/>
          </m:rPr>
          <m:t>−</m:t>
        </m:r>
        <m:r>
          <m:t>0.95</m:t>
        </m:r>
        <m:r>
          <m:rPr>
            <m:sty m:val="p"/>
          </m:rPr>
          <m:t>%</m:t>
        </m:r>
      </m:oMath>
      <w:r>
        <w:t xml:space="preserve">) across both datasets: it aggressively filters out pairs that only share high-degree hubs. For Jaccard Coefficient,</w:t>
      </w:r>
      <w:r>
        <w:t xml:space="preserve"> </w:t>
      </w:r>
      <m:oMath>
        <m:sSub>
          <m:e>
            <m:r>
              <m:t>s</m:t>
            </m:r>
          </m:e>
          <m:sub>
            <m:r>
              <m:rPr>
                <m:nor/>
                <m:sty m:val="p"/>
              </m:rPr>
              <m:t>JC</m:t>
            </m:r>
          </m:sub>
        </m:sSub>
        <m:r>
          <m:rPr>
            <m:sty m:val="p"/>
          </m:rPr>
          <m:t>(</m:t>
        </m:r>
        <m:r>
          <m:t>u</m:t>
        </m:r>
        <m:r>
          <m:rPr>
            <m:sty m:val="p"/>
          </m:rPr>
          <m:t>,</m:t>
        </m:r>
        <m:r>
          <m:t>v</m:t>
        </m:r>
        <m:r>
          <m:rPr>
            <m:sty m:val="p"/>
          </m:rPr>
          <m:t>)</m:t>
        </m:r>
        <m:r>
          <m:rPr>
            <m:sty m:val="p"/>
          </m:rPr>
          <m:t>∈</m:t>
        </m:r>
        <m:r>
          <m:rPr>
            <m:sty m:val="p"/>
          </m:rPr>
          <m:t>[</m:t>
        </m:r>
        <m:r>
          <m:t>0</m:t>
        </m:r>
        <m:r>
          <m:rPr>
            <m:sty m:val="p"/>
          </m:rPr>
          <m:t>,</m:t>
        </m:r>
        <m:r>
          <m:t>1</m:t>
        </m:r>
        <m:r>
          <m:rPr>
            <m:sty m:val="p"/>
          </m:rPr>
          <m:t>]</m:t>
        </m:r>
      </m:oMath>
      <w:r>
        <w:t xml:space="preserve"> </w:t>
      </w:r>
      <w:r>
        <w:t xml:space="preserve">represents a normalized overlap ratio; a score of</w:t>
      </w:r>
      <w:r>
        <w:t xml:space="preserve"> </w:t>
      </w:r>
      <m:oMath>
        <m:sSub>
          <m:e>
            <m:r>
              <m:t>s</m:t>
            </m:r>
          </m:e>
          <m:sub>
            <m:r>
              <m:rPr>
                <m:nor/>
                <m:sty m:val="p"/>
              </m:rPr>
              <m:t>JC</m:t>
            </m:r>
          </m:sub>
        </m:sSub>
        <m:r>
          <m:rPr>
            <m:sty m:val="p"/>
          </m:rPr>
          <m:t>=</m:t>
        </m:r>
        <m:r>
          <m:t>1.0</m:t>
        </m:r>
      </m:oMath>
      <w:r>
        <w:t xml:space="preserve"> </w:t>
      </w:r>
      <w:r>
        <w:t xml:space="preserve">occurs only when two distinct nodes share 100% of their neighbors (</w:t>
      </w:r>
      <m:oMath>
        <m:r>
          <m:t>N</m:t>
        </m:r>
        <m:r>
          <m:rPr>
            <m:sty m:val="p"/>
          </m:rPr>
          <m:t>(</m:t>
        </m:r>
        <m:r>
          <m:t>u</m:t>
        </m:r>
        <m:r>
          <m:rPr>
            <m:sty m:val="p"/>
          </m:rPr>
          <m:t>)</m:t>
        </m:r>
        <m:r>
          <m:rPr>
            <m:sty m:val="p"/>
          </m:rPr>
          <m:t>=</m:t>
        </m:r>
        <m:r>
          <m:t>N</m:t>
        </m:r>
        <m:r>
          <m:rPr>
            <m:sty m:val="p"/>
          </m:rPr>
          <m:t>(</m:t>
        </m:r>
        <m:r>
          <m:t>v</m:t>
        </m:r>
        <m:r>
          <m:rPr>
            <m:sty m:val="p"/>
          </m:rPr>
          <m:t>)</m:t>
        </m:r>
      </m:oMath>
      <w:r>
        <w:t xml:space="preserve">). In our evaluated benchmark test candidates, no candidate pair satisfied this condition (the maximum observed Jaccard score on positive candidates was</w:t>
      </w:r>
      <w:r>
        <w:t xml:space="preserve"> </w:t>
      </w:r>
      <m:oMath>
        <m:r>
          <m:t>0.06</m:t>
        </m:r>
      </m:oMath>
      <w:r>
        <w:t xml:space="preserve"> </w:t>
      </w:r>
      <w:r>
        <w:t xml:space="preserve">on CIC-IDS2017 Day 4 and</w:t>
      </w:r>
      <w:r>
        <w:t xml:space="preserve"> </w:t>
      </w:r>
      <m:oMath>
        <m:r>
          <m:t>0.72</m:t>
        </m:r>
      </m:oMath>
      <w:r>
        <w:t xml:space="preserve"> </w:t>
      </w:r>
      <w:r>
        <w:t xml:space="preserve">across APEX-IDS2026 test transitions), causing every candidate pair in the benchmark to score below threshold and yielding</w:t>
      </w:r>
      <w:r>
        <w:t xml:space="preserve"> </w:t>
      </w:r>
      <m:oMath>
        <m:r>
          <m:t>0.0</m:t>
        </m:r>
        <m:r>
          <m:rPr>
            <m:sty m:val="p"/>
          </m:rPr>
          <m:t>%</m:t>
        </m:r>
      </m:oMath>
      <w:r>
        <w:t xml:space="preserve"> </w:t>
      </w:r>
      <w:r>
        <w:t xml:space="preserve">F1. This zero-F1 outcome is strictly a threshold-specific artifact of applying an integer cutoff to a normalized ratio; as demonstrated below, threshold-free ranking metrics (ROC-AUC and Average Precision) establish that Jaccard possesses legitimate continuous ranking ability.</w:t>
      </w:r>
    </w:p>
    <w:bookmarkEnd w:id="27"/>
    <w:bookmarkEnd w:id="28"/>
    <w:bookmarkStart w:id="29" w:name="adapted-evolvegcn-h-architecture"/>
    <w:p>
      <w:pPr>
        <w:pStyle w:val="Heading3"/>
      </w:pPr>
      <w:r>
        <w:t xml:space="preserve">3.5 Adapted EvolveGCN-H Architecture</w:t>
      </w:r>
    </w:p>
    <w:p>
      <w:pPr>
        <w:pStyle w:val="FirstParagraph"/>
      </w:pPr>
      <w:r>
        <w:t xml:space="preserve">We evaluate an adapted implementation inspired by EvolveGCN-H (Pareja et al., 2020) that adapts GCN weight matrices across discrete time-steps using a recurrent architecture. Rather than utilizing the top-</w:t>
      </w:r>
      <m:oMath>
        <m:r>
          <m:t>k</m:t>
        </m:r>
      </m:oMath>
      <w:r>
        <w:t xml:space="preserve"> </w:t>
      </w:r>
      <w:r>
        <w:t xml:space="preserve">node selection mechanism and matrix-GRU of the original EvolveGCN-H formulation, this implementation uses global mean pooling and standard parameter vectorization. At step</w:t>
      </w:r>
      <w:r>
        <w:t xml:space="preserve"> </w:t>
      </w:r>
      <m:oMath>
        <m:r>
          <m:t>t</m:t>
        </m:r>
      </m:oMath>
      <w:r>
        <w:t xml:space="preserve">, node features</w:t>
      </w:r>
      <w:r>
        <w:t xml:space="preserve"> </w:t>
      </w:r>
      <m:oMath>
        <m:sSub>
          <m:e>
            <m:r>
              <m:t>X</m:t>
            </m:r>
          </m:e>
          <m:sub>
            <m:r>
              <m:t>t</m:t>
            </m:r>
          </m:sub>
        </m:sSub>
        <m:r>
          <m:rPr>
            <m:sty m:val="p"/>
          </m:rPr>
          <m:t>∈</m:t>
        </m:r>
        <m:sSup>
          <m:e>
            <m:r>
              <m:rPr>
                <m:scr m:val="double-struck"/>
                <m:sty m:val="p"/>
              </m:rPr>
              <m:t>R</m:t>
            </m:r>
          </m:e>
          <m:sup>
            <m:r>
              <m:rPr>
                <m:sty m:val="p"/>
              </m:rPr>
              <m:t>|</m:t>
            </m:r>
            <m:r>
              <m:t>V</m:t>
            </m:r>
            <m:r>
              <m:rPr>
                <m:sty m:val="p"/>
              </m:rPr>
              <m:t>|</m:t>
            </m:r>
            <m:r>
              <m:rPr>
                <m:sty m:val="p"/>
              </m:rPr>
              <m:t>×</m:t>
            </m:r>
            <m:sSub>
              <m:e>
                <m:r>
                  <m:t>d</m:t>
                </m:r>
              </m:e>
              <m:sub>
                <m:r>
                  <m:rPr>
                    <m:nor/>
                    <m:sty m:val="p"/>
                  </m:rPr>
                  <m:t>in</m:t>
                </m:r>
              </m:sub>
            </m:sSub>
          </m:sup>
        </m:sSup>
      </m:oMath>
      <w:r>
        <w:t xml:space="preserve"> </w:t>
      </w:r>
      <w:r>
        <w:t xml:space="preserve">are processed by GCN weights</w:t>
      </w:r>
      <w:r>
        <w:t xml:space="preserve"> </w:t>
      </w:r>
      <m:oMath>
        <m:sSub>
          <m:e>
            <m:r>
              <m:t>W</m:t>
            </m:r>
          </m:e>
          <m:sub>
            <m:r>
              <m:t>t</m:t>
            </m:r>
          </m:sub>
        </m:sSub>
        <m:r>
          <m:rPr>
            <m:sty m:val="p"/>
          </m:rPr>
          <m:t>∈</m:t>
        </m:r>
        <m:sSup>
          <m:e>
            <m:r>
              <m:rPr>
                <m:scr m:val="double-struck"/>
                <m:sty m:val="p"/>
              </m:rPr>
              <m:t>R</m:t>
            </m:r>
          </m:e>
          <m:sup>
            <m:sSub>
              <m:e>
                <m:r>
                  <m:t>d</m:t>
                </m:r>
              </m:e>
              <m:sub>
                <m:r>
                  <m:rPr>
                    <m:nor/>
                    <m:sty m:val="p"/>
                  </m:rPr>
                  <m:t>in</m:t>
                </m:r>
              </m:sub>
            </m:sSub>
            <m:r>
              <m:rPr>
                <m:sty m:val="p"/>
              </m:rPr>
              <m:t>×</m:t>
            </m:r>
            <m:sSub>
              <m:e>
                <m:r>
                  <m:t>d</m:t>
                </m:r>
              </m:e>
              <m:sub>
                <m:r>
                  <m:rPr>
                    <m:nor/>
                    <m:sty m:val="p"/>
                  </m:rPr>
                  <m:t>out</m:t>
                </m:r>
              </m:sub>
            </m:sSub>
          </m:sup>
        </m:sSup>
      </m:oMath>
      <w:r>
        <w:t xml:space="preserve">:</w:t>
      </w:r>
    </w:p>
    <w:p>
      <w:pPr>
        <w:pStyle w:val="BodyText"/>
      </w:pPr>
      <m:oMathPara>
        <m:oMathParaPr>
          <m:jc m:val="center"/>
        </m:oMathParaPr>
        <m:oMath>
          <m:sSub>
            <m:e>
              <m:r>
                <m:t>H</m:t>
              </m:r>
            </m:e>
            <m:sub>
              <m:r>
                <m:t>t</m:t>
              </m:r>
            </m:sub>
          </m:sSub>
          <m:r>
            <m:rPr>
              <m:sty m:val="p"/>
            </m:rPr>
            <m:t>=</m:t>
          </m:r>
          <m:r>
            <m:rPr>
              <m:nor/>
              <m:sty m:val="p"/>
            </m:rPr>
            <m:t>ReLU</m:t>
          </m:r>
          <m:d>
            <m:dPr>
              <m:begChr m:val="("/>
              <m:sepChr m:val=""/>
              <m:endChr m:val=")"/>
              <m:grow/>
            </m:dPr>
            <m:e>
              <m:sSubSup>
                <m:e>
                  <m:acc>
                    <m:accPr>
                      <m:chr m:val="̃"/>
                    </m:accPr>
                    <m:e>
                      <m:r>
                        <m:t>D</m:t>
                      </m:r>
                    </m:e>
                  </m:acc>
                </m:e>
                <m:sub>
                  <m:r>
                    <m:t>t</m:t>
                  </m:r>
                </m:sub>
                <m:sup>
                  <m:r>
                    <m:rPr>
                      <m:sty m:val="p"/>
                    </m:rPr>
                    <m:t>−</m:t>
                  </m:r>
                  <m:r>
                    <m:t>1</m:t>
                  </m:r>
                  <m:r>
                    <m:rPr>
                      <m:sty m:val="p"/>
                    </m:rPr>
                    <m:t>/</m:t>
                  </m:r>
                  <m:r>
                    <m:t>2</m:t>
                  </m:r>
                </m:sup>
              </m:sSubSup>
              <m:sSub>
                <m:e>
                  <m:acc>
                    <m:accPr>
                      <m:chr m:val="̃"/>
                    </m:accPr>
                    <m:e>
                      <m:r>
                        <m:t>A</m:t>
                      </m:r>
                    </m:e>
                  </m:acc>
                </m:e>
                <m:sub>
                  <m:r>
                    <m:t>t</m:t>
                  </m:r>
                </m:sub>
              </m:sSub>
              <m:sSubSup>
                <m:e>
                  <m:acc>
                    <m:accPr>
                      <m:chr m:val="̃"/>
                    </m:accPr>
                    <m:e>
                      <m:r>
                        <m:t>D</m:t>
                      </m:r>
                    </m:e>
                  </m:acc>
                </m:e>
                <m:sub>
                  <m:r>
                    <m:t>t</m:t>
                  </m:r>
                </m:sub>
                <m:sup>
                  <m:r>
                    <m:rPr>
                      <m:sty m:val="p"/>
                    </m:rPr>
                    <m:t>−</m:t>
                  </m:r>
                  <m:r>
                    <m:t>1</m:t>
                  </m:r>
                  <m:r>
                    <m:rPr>
                      <m:sty m:val="p"/>
                    </m:rPr>
                    <m:t>/</m:t>
                  </m:r>
                  <m:r>
                    <m:t>2</m:t>
                  </m:r>
                </m:sup>
              </m:sSubSup>
              <m:sSub>
                <m:e>
                  <m:r>
                    <m:t>X</m:t>
                  </m:r>
                </m:e>
                <m:sub>
                  <m:r>
                    <m:t>t</m:t>
                  </m:r>
                </m:sub>
              </m:sSub>
              <m:sSub>
                <m:e>
                  <m:r>
                    <m:t>W</m:t>
                  </m:r>
                </m:e>
                <m:sub>
                  <m:r>
                    <m:t>t</m:t>
                  </m:r>
                </m:sub>
              </m:sSub>
            </m:e>
          </m:d>
        </m:oMath>
      </m:oMathPara>
    </w:p>
    <w:p>
      <w:pPr>
        <w:pStyle w:val="FirstParagraph"/>
      </w:pPr>
      <w:r>
        <w:t xml:space="preserve">where</w:t>
      </w:r>
      <w:r>
        <w:t xml:space="preserve"> </w:t>
      </w:r>
      <m:oMath>
        <m:sSub>
          <m:e>
            <m:acc>
              <m:accPr>
                <m:chr m:val="̃"/>
              </m:accPr>
              <m:e>
                <m:r>
                  <m:t>A</m:t>
                </m:r>
              </m:e>
            </m:acc>
          </m:e>
          <m:sub>
            <m:r>
              <m:t>t</m:t>
            </m:r>
          </m:sub>
        </m:sSub>
        <m:r>
          <m:rPr>
            <m:sty m:val="p"/>
          </m:rPr>
          <m:t>=</m:t>
        </m:r>
        <m:sSub>
          <m:e>
            <m:r>
              <m:t>A</m:t>
            </m:r>
          </m:e>
          <m:sub>
            <m:r>
              <m:t>t</m:t>
            </m:r>
          </m:sub>
        </m:sSub>
        <m:r>
          <m:rPr>
            <m:sty m:val="p"/>
          </m:rPr>
          <m:t>+</m:t>
        </m:r>
        <m:sSub>
          <m:e>
            <m:r>
              <m:t>I</m:t>
            </m:r>
          </m:e>
          <m:sub>
            <m:r>
              <m:t>N</m:t>
            </m:r>
          </m:sub>
        </m:sSub>
      </m:oMath>
      <w:r>
        <w:t xml:space="preserve"> </w:t>
      </w:r>
      <w:r>
        <w:t xml:space="preserve">is the adjacency matrix with added self-loops.</w:t>
      </w:r>
    </w:p>
    <w:p>
      <w:pPr>
        <w:pStyle w:val="BodyText"/>
      </w:pPr>
      <w:r>
        <w:t xml:space="preserve">To evolve weights across time without relying on top-</w:t>
      </w:r>
      <m:oMath>
        <m:r>
          <m:t>k</m:t>
        </m:r>
      </m:oMath>
      <w:r>
        <w:t xml:space="preserve"> </w:t>
      </w:r>
      <w:r>
        <w:t xml:space="preserve">node selection, node features are pooled into a global graph summary vector</w:t>
      </w:r>
      <w:r>
        <w:t xml:space="preserve"> </w:t>
      </w:r>
      <m:oMath>
        <m:sSub>
          <m:e>
            <m:r>
              <m:t>Z</m:t>
            </m:r>
          </m:e>
          <m:sub>
            <m:r>
              <m:t>t</m:t>
            </m:r>
          </m:sub>
        </m:sSub>
        <m:r>
          <m:rPr>
            <m:sty m:val="p"/>
          </m:rPr>
          <m:t>=</m:t>
        </m:r>
        <m:f>
          <m:fPr>
            <m:type m:val="bar"/>
          </m:fPr>
          <m:num>
            <m:r>
              <m:t>1</m:t>
            </m:r>
          </m:num>
          <m:den>
            <m:r>
              <m:rPr>
                <m:sty m:val="p"/>
              </m:rPr>
              <m:t>|</m:t>
            </m:r>
            <m:r>
              <m:t>V</m:t>
            </m:r>
            <m:r>
              <m:rPr>
                <m:sty m:val="p"/>
              </m:rPr>
              <m:t>|</m:t>
            </m:r>
          </m:den>
        </m:f>
        <m:nary>
          <m:naryPr>
            <m:chr m:val="∑"/>
            <m:limLoc m:val="undOvr"/>
            <m:subHide m:val="off"/>
            <m:supHide m:val="off"/>
          </m:naryPr>
          <m:sub>
            <m:r>
              <m:t>i</m:t>
            </m:r>
            <m:r>
              <m:rPr>
                <m:sty m:val="p"/>
              </m:rPr>
              <m:t>=</m:t>
            </m:r>
            <m:r>
              <m:t>1</m:t>
            </m:r>
          </m:sub>
          <m:sup>
            <m:r>
              <m:rPr>
                <m:sty m:val="p"/>
              </m:rPr>
              <m:t>|</m:t>
            </m:r>
            <m:r>
              <m:t>V</m:t>
            </m:r>
            <m:r>
              <m:rPr>
                <m:sty m:val="p"/>
              </m:rPr>
              <m:t>|</m:t>
            </m:r>
          </m:sup>
          <m:e>
            <m:sSub>
              <m:e>
                <m:r>
                  <m:t>X</m:t>
                </m:r>
              </m:e>
              <m:sub>
                <m:r>
                  <m:t>t</m:t>
                </m:r>
              </m:sub>
            </m:sSub>
          </m:e>
        </m:nary>
        <m:r>
          <m:rPr>
            <m:sty m:val="p"/>
          </m:rPr>
          <m:t>[</m:t>
        </m:r>
        <m:r>
          <m:t>i</m:t>
        </m:r>
        <m:r>
          <m:rPr>
            <m:sty m:val="p"/>
          </m:rPr>
          <m:t>,</m:t>
        </m:r>
        <m:r>
          <m:rPr>
            <m:sty m:val="p"/>
          </m:rPr>
          <m:t>:</m:t>
        </m:r>
        <m:r>
          <m:rPr>
            <m:sty m:val="p"/>
          </m:rPr>
          <m:t>]</m:t>
        </m:r>
        <m:r>
          <m:rPr>
            <m:sty m:val="p"/>
          </m:rPr>
          <m:t>∈</m:t>
        </m:r>
        <m:sSup>
          <m:e>
            <m:r>
              <m:rPr>
                <m:scr m:val="double-struck"/>
                <m:sty m:val="p"/>
              </m:rPr>
              <m:t>R</m:t>
            </m:r>
          </m:e>
          <m:sup>
            <m:sSub>
              <m:e>
                <m:r>
                  <m:t>d</m:t>
                </m:r>
              </m:e>
              <m:sub>
                <m:r>
                  <m:rPr>
                    <m:nor/>
                    <m:sty m:val="p"/>
                  </m:rPr>
                  <m:t>in</m:t>
                </m:r>
              </m:sub>
            </m:sSub>
          </m:sup>
        </m:sSup>
      </m:oMath>
      <w:r>
        <w:t xml:space="preserve">. A standard Gated Recurrent Unit (GRU) evolves the vectorized GCN weight parameters</w:t>
      </w:r>
      <w:r>
        <w:t xml:space="preserve"> </w:t>
      </w:r>
      <m:oMath>
        <m:r>
          <m:rPr>
            <m:nor/>
            <m:sty m:val="p"/>
          </m:rPr>
          <m:t>vec</m:t>
        </m:r>
        <m:r>
          <m:rPr>
            <m:sty m:val="p"/>
          </m:rPr>
          <m:t>(</m:t>
        </m:r>
        <m:sSub>
          <m:e>
            <m:r>
              <m:t>W</m:t>
            </m:r>
          </m:e>
          <m:sub>
            <m:r>
              <m:t>t</m:t>
            </m:r>
          </m:sub>
        </m:sSub>
        <m:r>
          <m:rPr>
            <m:sty m:val="p"/>
          </m:rPr>
          <m:t>)</m:t>
        </m:r>
        <m:r>
          <m:rPr>
            <m:sty m:val="p"/>
          </m:rPr>
          <m:t>∈</m:t>
        </m:r>
        <m:sSup>
          <m:e>
            <m:r>
              <m:rPr>
                <m:scr m:val="double-struck"/>
                <m:sty m:val="p"/>
              </m:rPr>
              <m:t>R</m:t>
            </m:r>
          </m:e>
          <m:sup>
            <m:sSub>
              <m:e>
                <m:r>
                  <m:t>d</m:t>
                </m:r>
              </m:e>
              <m:sub>
                <m:r>
                  <m:rPr>
                    <m:nor/>
                    <m:sty m:val="p"/>
                  </m:rPr>
                  <m:t>in</m:t>
                </m:r>
              </m:sub>
            </m:sSub>
            <m:r>
              <m:rPr>
                <m:sty m:val="p"/>
              </m:rPr>
              <m:t>⋅</m:t>
            </m:r>
            <m:sSub>
              <m:e>
                <m:r>
                  <m:t>d</m:t>
                </m:r>
              </m:e>
              <m:sub>
                <m:r>
                  <m:rPr>
                    <m:nor/>
                    <m:sty m:val="p"/>
                  </m:rPr>
                  <m:t>out</m:t>
                </m:r>
              </m:sub>
            </m:sSub>
          </m:sup>
        </m:sSup>
      </m:oMath>
      <w:r>
        <w:t xml:space="preserve">:</w:t>
      </w:r>
    </w:p>
    <w:p>
      <w:pPr>
        <w:pStyle w:val="BodyText"/>
      </w:pPr>
      <m:oMathPara>
        <m:oMathParaPr>
          <m:jc m:val="center"/>
        </m:oMathParaPr>
        <m:oMath>
          <m:r>
            <m:rPr>
              <m:nor/>
              <m:sty m:val="p"/>
            </m:rPr>
            <m:t>vec</m:t>
          </m:r>
          <m:r>
            <m:rPr>
              <m:sty m:val="p"/>
            </m:rPr>
            <m:t>(</m:t>
          </m:r>
          <m:sSub>
            <m:e>
              <m:r>
                <m:t>W</m:t>
              </m:r>
            </m:e>
            <m:sub>
              <m:r>
                <m:t>t</m:t>
              </m:r>
            </m:sub>
          </m:sSub>
          <m:r>
            <m:rPr>
              <m:sty m:val="p"/>
            </m:rPr>
            <m:t>)</m:t>
          </m:r>
          <m:r>
            <m:rPr>
              <m:sty m:val="p"/>
            </m:rPr>
            <m:t>=</m:t>
          </m:r>
          <m:r>
            <m:rPr>
              <m:nor/>
              <m:sty m:val="p"/>
            </m:rPr>
            <m:t>GRU</m:t>
          </m:r>
          <m:d>
            <m:dPr>
              <m:begChr m:val="("/>
              <m:sepChr m:val=""/>
              <m:endChr m:val=")"/>
              <m:grow/>
            </m:dPr>
            <m:e>
              <m:sSub>
                <m:e>
                  <m:r>
                    <m:t>Z</m:t>
                  </m:r>
                </m:e>
                <m:sub>
                  <m:r>
                    <m:t>t</m:t>
                  </m:r>
                </m:sub>
              </m:sSub>
              <m:r>
                <m:rPr>
                  <m:sty m:val="p"/>
                </m:rPr>
                <m:t>,</m:t>
              </m:r>
              <m:r>
                <m:rPr>
                  <m:nor/>
                  <m:sty m:val="p"/>
                </m:rPr>
                <m:t>vec</m:t>
              </m:r>
              <m:r>
                <m:rPr>
                  <m:sty m:val="p"/>
                </m:rPr>
                <m:t>(</m:t>
              </m:r>
              <m:sSub>
                <m:e>
                  <m:r>
                    <m:t>W</m:t>
                  </m:r>
                </m:e>
                <m:sub>
                  <m:r>
                    <m:t>t</m:t>
                  </m:r>
                  <m:r>
                    <m:rPr>
                      <m:sty m:val="p"/>
                    </m:rPr>
                    <m:t>−</m:t>
                  </m:r>
                  <m:r>
                    <m:t>1</m:t>
                  </m:r>
                </m:sub>
              </m:sSub>
              <m:r>
                <m:rPr>
                  <m:sty m:val="p"/>
                </m:rPr>
                <m:t>)</m:t>
              </m:r>
            </m:e>
          </m:d>
        </m:oMath>
      </m:oMathPara>
    </w:p>
    <w:p>
      <w:pPr>
        <w:pStyle w:val="FirstParagraph"/>
      </w:pPr>
      <w:r>
        <w:t xml:space="preserve">and the updated hidden state is reshaped into the 2D GCN weight matrix:</w:t>
      </w:r>
    </w:p>
    <w:p>
      <w:pPr>
        <w:pStyle w:val="BodyText"/>
      </w:pPr>
      <m:oMathPara>
        <m:oMathParaPr>
          <m:jc m:val="center"/>
        </m:oMathParaPr>
        <m:oMath>
          <m:sSub>
            <m:e>
              <m:r>
                <m:t>W</m:t>
              </m:r>
            </m:e>
            <m:sub>
              <m:r>
                <m:t>t</m:t>
              </m:r>
            </m:sub>
          </m:sSub>
          <m:r>
            <m:rPr>
              <m:sty m:val="p"/>
            </m:rPr>
            <m:t>=</m:t>
          </m:r>
          <m:r>
            <m:rPr>
              <m:nor/>
              <m:sty m:val="p"/>
            </m:rPr>
            <m:t>reshape</m:t>
          </m:r>
          <m:d>
            <m:dPr>
              <m:begChr m:val="("/>
              <m:sepChr m:val=""/>
              <m:endChr m:val=")"/>
              <m:grow/>
            </m:dPr>
            <m:e>
              <m:r>
                <m:rPr>
                  <m:nor/>
                  <m:sty m:val="p"/>
                </m:rPr>
                <m:t>vec</m:t>
              </m:r>
              <m:r>
                <m:rPr>
                  <m:sty m:val="p"/>
                </m:rPr>
                <m:t>(</m:t>
              </m:r>
              <m:sSub>
                <m:e>
                  <m:r>
                    <m:t>W</m:t>
                  </m:r>
                </m:e>
                <m:sub>
                  <m:r>
                    <m:t>t</m:t>
                  </m:r>
                </m:sub>
              </m:sSub>
              <m:r>
                <m:rPr>
                  <m:sty m:val="p"/>
                </m:rPr>
                <m:t>)</m:t>
              </m:r>
              <m:r>
                <m:rPr>
                  <m:sty m:val="p"/>
                </m:rPr>
                <m:t>,</m:t>
              </m:r>
              <m:r>
                <m:rPr>
                  <m:sty m:val="p"/>
                </m:rPr>
                <m:t>(</m:t>
              </m:r>
              <m:sSub>
                <m:e>
                  <m:r>
                    <m:t>d</m:t>
                  </m:r>
                </m:e>
                <m:sub>
                  <m:r>
                    <m:rPr>
                      <m:nor/>
                      <m:sty m:val="p"/>
                    </m:rPr>
                    <m:t>in</m:t>
                  </m:r>
                </m:sub>
              </m:sSub>
              <m:r>
                <m:rPr>
                  <m:sty m:val="p"/>
                </m:rPr>
                <m:t>,</m:t>
              </m:r>
              <m:sSub>
                <m:e>
                  <m:r>
                    <m:t>d</m:t>
                  </m:r>
                </m:e>
                <m:sub>
                  <m:r>
                    <m:rPr>
                      <m:nor/>
                      <m:sty m:val="p"/>
                    </m:rPr>
                    <m:t>out</m:t>
                  </m:r>
                </m:sub>
              </m:sSub>
              <m:r>
                <m:rPr>
                  <m:sty m:val="p"/>
                </m:rPr>
                <m:t>)</m:t>
              </m:r>
            </m:e>
          </m:d>
        </m:oMath>
      </m:oMathPara>
    </w:p>
    <w:p>
      <w:pPr>
        <w:pStyle w:val="FirstParagraph"/>
      </w:pPr>
      <w:r>
        <w:t xml:space="preserve">Edge link probabilities are predicted via an MLP over concatenated endpoint embeddings:</w:t>
      </w:r>
    </w:p>
    <w:p>
      <w:pPr>
        <w:pStyle w:val="BodyText"/>
      </w:pPr>
      <m:oMathPara>
        <m:oMathParaPr>
          <m:jc m:val="center"/>
        </m:oMathParaPr>
        <m:oMath>
          <m:acc>
            <m:accPr>
              <m:chr m:val="̂"/>
            </m:accPr>
            <m:e>
              <m:r>
                <m:t>p</m:t>
              </m:r>
            </m:e>
          </m:acc>
          <m:r>
            <m:rPr>
              <m:sty m:val="p"/>
            </m:rPr>
            <m:t>(</m:t>
          </m:r>
          <m:r>
            <m:t>u</m:t>
          </m:r>
          <m:r>
            <m:rPr>
              <m:sty m:val="p"/>
            </m:rPr>
            <m:t>,</m:t>
          </m:r>
          <m:r>
            <m:t>v</m:t>
          </m:r>
          <m:r>
            <m:rPr>
              <m:sty m:val="p"/>
            </m:rPr>
            <m:t>)</m:t>
          </m:r>
          <m:r>
            <m:rPr>
              <m:sty m:val="p"/>
            </m:rPr>
            <m:t>=</m:t>
          </m:r>
          <m:r>
            <m:t>σ</m:t>
          </m:r>
          <m:d>
            <m:dPr>
              <m:begChr m:val="("/>
              <m:sepChr m:val=""/>
              <m:endChr m:val=")"/>
              <m:grow/>
            </m:dPr>
            <m:e>
              <m:r>
                <m:rPr>
                  <m:nor/>
                  <m:sty m:val="p"/>
                </m:rPr>
                <m:t>MLP</m:t>
              </m:r>
              <m:r>
                <m:rPr>
                  <m:sty m:val="p"/>
                </m:rPr>
                <m:t>(</m:t>
              </m:r>
              <m:r>
                <m:rPr>
                  <m:sty m:val="p"/>
                </m:rPr>
                <m:t>[</m:t>
              </m:r>
              <m:sSub>
                <m:e>
                  <m:r>
                    <m:t>H</m:t>
                  </m:r>
                </m:e>
                <m:sub>
                  <m:r>
                    <m:t>t</m:t>
                  </m:r>
                </m:sub>
              </m:sSub>
              <m:r>
                <m:rPr>
                  <m:sty m:val="p"/>
                </m:rPr>
                <m:t>[</m:t>
              </m:r>
              <m:r>
                <m:t>u</m:t>
              </m:r>
              <m:r>
                <m:rPr>
                  <m:sty m:val="p"/>
                </m:rPr>
                <m:t>,</m:t>
              </m:r>
              <m:r>
                <m:rPr>
                  <m:sty m:val="p"/>
                </m:rPr>
                <m:t>:</m:t>
              </m:r>
              <m:r>
                <m:rPr>
                  <m:sty m:val="p"/>
                </m:rPr>
                <m:t>]</m:t>
              </m:r>
              <m:r>
                <m:rPr>
                  <m:sty m:val="p"/>
                </m:rPr>
                <m:t>∥</m:t>
              </m:r>
              <m:sSub>
                <m:e>
                  <m:r>
                    <m:t>H</m:t>
                  </m:r>
                </m:e>
                <m:sub>
                  <m:r>
                    <m:t>t</m:t>
                  </m:r>
                </m:sub>
              </m:sSub>
              <m:r>
                <m:rPr>
                  <m:sty m:val="p"/>
                </m:rPr>
                <m:t>[</m:t>
              </m:r>
              <m:r>
                <m:t>v</m:t>
              </m:r>
              <m:r>
                <m:rPr>
                  <m:sty m:val="p"/>
                </m:rPr>
                <m:t>,</m:t>
              </m:r>
              <m:r>
                <m:rPr>
                  <m:sty m:val="p"/>
                </m:rPr>
                <m:t>:</m:t>
              </m:r>
              <m:r>
                <m:rPr>
                  <m:sty m:val="p"/>
                </m:rPr>
                <m:t>]</m:t>
              </m:r>
              <m:r>
                <m:rPr>
                  <m:sty m:val="p"/>
                </m:rPr>
                <m:t>]</m:t>
              </m:r>
              <m:r>
                <m:rPr>
                  <m:sty m:val="p"/>
                </m:rPr>
                <m:t>)</m:t>
              </m:r>
            </m:e>
          </m:d>
        </m:oMath>
      </m:oMathPara>
    </w:p>
    <w:p>
      <w:pPr>
        <w:pStyle w:val="FirstParagraph"/>
      </w:pPr>
      <w:r>
        <w:t xml:space="preserve">To eliminate reliance on purely random Gaussian node features (which introduce severe evaluation variance), we construct</w:t>
      </w:r>
      <w:r>
        <w:t xml:space="preserve"> </w:t>
      </w:r>
      <w:r>
        <w:rPr>
          <w:b/>
          <w:bCs/>
        </w:rPr>
        <w:t xml:space="preserve">deterministic structural node features</w:t>
      </w:r>
      <w:r>
        <w:t xml:space="preserve"> </w:t>
      </w:r>
      <w:r>
        <w:t xml:space="preserve">on</w:t>
      </w:r>
      <w:r>
        <w:t xml:space="preserve"> </w:t>
      </w:r>
      <m:oMath>
        <m:sSub>
          <m:e>
            <m:r>
              <m:t>G</m:t>
            </m:r>
          </m:e>
          <m:sub>
            <m:r>
              <m:t>t</m:t>
            </m:r>
          </m:sub>
        </m:sSub>
      </m:oMath>
      <w:r>
        <w:t xml:space="preserve">:</w:t>
      </w:r>
    </w:p>
    <w:p>
      <w:pPr>
        <w:pStyle w:val="BodyText"/>
      </w:pPr>
      <m:oMathPara>
        <m:oMathParaPr>
          <m:jc m:val="center"/>
        </m:oMathParaPr>
        <m:oMath>
          <m:sSub>
            <m:e>
              <m:r>
                <m:t>X</m:t>
              </m:r>
            </m:e>
            <m:sub>
              <m:r>
                <m:t>t</m:t>
              </m:r>
            </m:sub>
          </m:sSub>
          <m:r>
            <m:rPr>
              <m:sty m:val="p"/>
            </m:rPr>
            <m:t>[</m:t>
          </m:r>
          <m:r>
            <m:t>u</m:t>
          </m:r>
          <m:r>
            <m:rPr>
              <m:sty m:val="p"/>
            </m:rPr>
            <m:t>,</m:t>
          </m:r>
          <m:r>
            <m:rPr>
              <m:sty m:val="p"/>
            </m:rPr>
            <m:t>:</m:t>
          </m:r>
          <m:r>
            <m:rPr>
              <m:sty m:val="p"/>
            </m:rPr>
            <m:t>]</m:t>
          </m:r>
          <m:r>
            <m:rPr>
              <m:sty m:val="p"/>
            </m:rPr>
            <m:t>=</m:t>
          </m:r>
          <m:d>
            <m:dPr>
              <m:begChr m:val="["/>
              <m:sepChr m:val=""/>
              <m:endChr m:val="]"/>
              <m:grow/>
            </m:dPr>
            <m:e>
              <m:sSub>
                <m:e>
                  <m:r>
                    <m:t>d</m:t>
                  </m:r>
                </m:e>
                <m:sub>
                  <m:r>
                    <m:rPr>
                      <m:nor/>
                      <m:sty m:val="p"/>
                    </m:rPr>
                    <m:t>in</m:t>
                  </m:r>
                </m:sub>
              </m:sSub>
              <m:r>
                <m:rPr>
                  <m:sty m:val="p"/>
                </m:rPr>
                <m:t>(</m:t>
              </m:r>
              <m:r>
                <m:t>u</m:t>
              </m:r>
              <m:r>
                <m:rPr>
                  <m:sty m:val="p"/>
                </m:rPr>
                <m:t>)</m:t>
              </m:r>
              <m:r>
                <m:rPr>
                  <m:sty m:val="p"/>
                </m:rPr>
                <m:t>,</m:t>
              </m:r>
              <m:sSub>
                <m:e>
                  <m:r>
                    <m:t>d</m:t>
                  </m:r>
                </m:e>
                <m:sub>
                  <m:r>
                    <m:rPr>
                      <m:nor/>
                      <m:sty m:val="p"/>
                    </m:rPr>
                    <m:t>out</m:t>
                  </m:r>
                </m:sub>
              </m:sSub>
              <m:r>
                <m:rPr>
                  <m:sty m:val="p"/>
                </m:rPr>
                <m:t>(</m:t>
              </m:r>
              <m:r>
                <m:t>u</m:t>
              </m:r>
              <m:r>
                <m:rPr>
                  <m:sty m:val="p"/>
                </m:rPr>
                <m:t>)</m:t>
              </m:r>
              <m:r>
                <m:rPr>
                  <m:sty m:val="p"/>
                </m:rPr>
                <m:t>,</m:t>
              </m:r>
              <m:sSub>
                <m:e>
                  <m:r>
                    <m:t>d</m:t>
                  </m:r>
                </m:e>
                <m:sub>
                  <m:r>
                    <m:rPr>
                      <m:nor/>
                      <m:sty m:val="p"/>
                    </m:rPr>
                    <m:t>tot</m:t>
                  </m:r>
                </m:sub>
              </m:sSub>
              <m:r>
                <m:rPr>
                  <m:sty m:val="p"/>
                </m:rPr>
                <m:t>(</m:t>
              </m:r>
              <m:r>
                <m:t>u</m:t>
              </m:r>
              <m:r>
                <m:rPr>
                  <m:sty m:val="p"/>
                </m:rPr>
                <m:t>)</m:t>
              </m:r>
              <m:r>
                <m:rPr>
                  <m:sty m:val="p"/>
                </m:rPr>
                <m:t>,</m:t>
              </m:r>
              <m:r>
                <m:rPr>
                  <m:sty m:val="p"/>
                </m:rPr>
                <m:t>log</m:t>
              </m:r>
              <m:r>
                <m:rPr>
                  <m:sty m:val="p"/>
                </m:rPr>
                <m:t>(</m:t>
              </m:r>
              <m:r>
                <m:t>1</m:t>
              </m:r>
              <m:r>
                <m:rPr>
                  <m:sty m:val="p"/>
                </m:rPr>
                <m:t>+</m:t>
              </m:r>
              <m:sSub>
                <m:e>
                  <m:r>
                    <m:t>d</m:t>
                  </m:r>
                </m:e>
                <m:sub>
                  <m:r>
                    <m:rPr>
                      <m:nor/>
                      <m:sty m:val="p"/>
                    </m:rPr>
                    <m:t>in</m:t>
                  </m:r>
                </m:sub>
              </m:sSub>
              <m:r>
                <m:rPr>
                  <m:sty m:val="p"/>
                </m:rPr>
                <m:t>(</m:t>
              </m:r>
              <m:r>
                <m:t>u</m:t>
              </m:r>
              <m:r>
                <m:rPr>
                  <m:sty m:val="p"/>
                </m:rPr>
                <m:t>)</m:t>
              </m:r>
              <m:r>
                <m:rPr>
                  <m:sty m:val="p"/>
                </m:rPr>
                <m:t>)</m:t>
              </m:r>
              <m:r>
                <m:rPr>
                  <m:sty m:val="p"/>
                </m:rPr>
                <m:t>,</m:t>
              </m:r>
              <m:r>
                <m:rPr>
                  <m:sty m:val="p"/>
                </m:rPr>
                <m:t>log</m:t>
              </m:r>
              <m:r>
                <m:rPr>
                  <m:sty m:val="p"/>
                </m:rPr>
                <m:t>(</m:t>
              </m:r>
              <m:r>
                <m:t>1</m:t>
              </m:r>
              <m:r>
                <m:rPr>
                  <m:sty m:val="p"/>
                </m:rPr>
                <m:t>+</m:t>
              </m:r>
              <m:sSub>
                <m:e>
                  <m:r>
                    <m:t>d</m:t>
                  </m:r>
                </m:e>
                <m:sub>
                  <m:r>
                    <m:rPr>
                      <m:nor/>
                      <m:sty m:val="p"/>
                    </m:rPr>
                    <m:t>out</m:t>
                  </m:r>
                </m:sub>
              </m:sSub>
              <m:r>
                <m:rPr>
                  <m:sty m:val="p"/>
                </m:rPr>
                <m:t>(</m:t>
              </m:r>
              <m:r>
                <m:t>u</m:t>
              </m:r>
              <m:r>
                <m:rPr>
                  <m:sty m:val="p"/>
                </m:rPr>
                <m:t>)</m:t>
              </m:r>
              <m:r>
                <m:rPr>
                  <m:sty m:val="p"/>
                </m:rPr>
                <m:t>)</m:t>
              </m:r>
              <m:r>
                <m:rPr>
                  <m:sty m:val="p"/>
                </m:rPr>
                <m:t>,</m:t>
              </m:r>
              <m:f>
                <m:fPr>
                  <m:type m:val="bar"/>
                </m:fPr>
                <m:num>
                  <m:sSub>
                    <m:e>
                      <m:r>
                        <m:t>d</m:t>
                      </m:r>
                    </m:e>
                    <m:sub>
                      <m:r>
                        <m:rPr>
                          <m:nor/>
                          <m:sty m:val="p"/>
                        </m:rPr>
                        <m:t>in</m:t>
                      </m:r>
                    </m:sub>
                  </m:sSub>
                  <m:r>
                    <m:rPr>
                      <m:sty m:val="p"/>
                    </m:rPr>
                    <m:t>(</m:t>
                  </m:r>
                  <m:r>
                    <m:t>u</m:t>
                  </m:r>
                  <m:r>
                    <m:rPr>
                      <m:sty m:val="p"/>
                    </m:rPr>
                    <m:t>)</m:t>
                  </m:r>
                </m:num>
                <m:den>
                  <m:sSub>
                    <m:e>
                      <m:r>
                        <m:t>d</m:t>
                      </m:r>
                    </m:e>
                    <m:sub>
                      <m:r>
                        <m:rPr>
                          <m:nor/>
                          <m:sty m:val="p"/>
                        </m:rPr>
                        <m:t>tot</m:t>
                      </m:r>
                    </m:sub>
                  </m:sSub>
                  <m:r>
                    <m:rPr>
                      <m:sty m:val="p"/>
                    </m:rPr>
                    <m:t>(</m:t>
                  </m:r>
                  <m:r>
                    <m:t>u</m:t>
                  </m:r>
                  <m:r>
                    <m:rPr>
                      <m:sty m:val="p"/>
                    </m:rPr>
                    <m:t>)</m:t>
                  </m:r>
                  <m:r>
                    <m:rPr>
                      <m:sty m:val="p"/>
                    </m:rPr>
                    <m:t>+</m:t>
                  </m:r>
                  <m:sSup>
                    <m:e>
                      <m:r>
                        <m:t>10</m:t>
                      </m:r>
                    </m:e>
                    <m:sup>
                      <m:r>
                        <m:rPr>
                          <m:sty m:val="p"/>
                        </m:rPr>
                        <m:t>−</m:t>
                      </m:r>
                      <m:r>
                        <m:t>6</m:t>
                      </m:r>
                    </m:sup>
                  </m:sSup>
                </m:den>
              </m:f>
            </m:e>
          </m:d>
        </m:oMath>
      </m:oMathPara>
    </w:p>
    <w:p>
      <w:pPr>
        <w:pStyle w:val="FirstParagraph"/>
      </w:pPr>
      <w:r>
        <w:t xml:space="preserve">padded to</w:t>
      </w:r>
      <w:r>
        <w:t xml:space="preserve"> </w:t>
      </w:r>
      <m:oMath>
        <m:sSub>
          <m:e>
            <m:r>
              <m:t>d</m:t>
            </m:r>
          </m:e>
          <m:sub>
            <m:r>
              <m:rPr>
                <m:nor/>
                <m:sty m:val="p"/>
              </m:rPr>
              <m:t>in</m:t>
            </m:r>
          </m:sub>
        </m:sSub>
        <m:r>
          <m:rPr>
            <m:sty m:val="p"/>
          </m:rPr>
          <m:t>=</m:t>
        </m:r>
        <m:r>
          <m:t>16</m:t>
        </m:r>
      </m:oMath>
      <w:r>
        <w:t xml:space="preserve">. The model is trained for 3 epochs per seed using Adam (</w:t>
      </w:r>
      <m:oMath>
        <m:r>
          <m:rPr>
            <m:nor/>
            <m:sty m:val="p"/>
          </m:rPr>
          <m:t>lr</m:t>
        </m:r>
        <m:r>
          <m:rPr>
            <m:sty m:val="p"/>
          </m:rPr>
          <m:t>=</m:t>
        </m:r>
        <m:r>
          <m:t>0.005</m:t>
        </m:r>
      </m:oMath>
      <w:r>
        <w:t xml:space="preserve">) with BCE loss (</w:t>
      </w:r>
      <w:r>
        <w:rPr>
          <w:rStyle w:val="VerbatimChar"/>
        </w:rPr>
        <w:t xml:space="preserve">nn.BCEWithLogitsLoss</w:t>
      </w:r>
      <w:r>
        <w:t xml:space="preserve">) strictly on the training partition. Hidden states are evolved sequentially through validation into the test partition without gradient updates or future leakage (</w:t>
      </w:r>
      <w:r>
        <w:rPr>
          <w:rStyle w:val="VerbatimChar"/>
        </w:rPr>
        <w:t xml:space="preserve">torch.no_grad()</w:t>
      </w:r>
      <w:r>
        <w:t xml:space="preserve">). The decision threshold is fixed at the canonical midpoint</w:t>
      </w:r>
      <w:r>
        <w:t xml:space="preserve"> </w:t>
      </w:r>
      <m:oMath>
        <m:r>
          <m:t>τ</m:t>
        </m:r>
        <m:r>
          <m:rPr>
            <m:sty m:val="p"/>
          </m:rPr>
          <m:t>=</m:t>
        </m:r>
        <m:r>
          <m:t>0.5</m:t>
        </m:r>
      </m:oMath>
      <w:r>
        <w:t xml:space="preserve">.</w:t>
      </w:r>
    </w:p>
    <w:bookmarkEnd w:id="29"/>
    <w:bookmarkStart w:id="30" w:name="multi-scale-graph-dynamics-metrics"/>
    <w:p>
      <w:pPr>
        <w:pStyle w:val="Heading3"/>
      </w:pPr>
      <w:r>
        <w:t xml:space="preserve">3.6 Multi-Scale Graph Dynamics Metrics</w:t>
      </w:r>
    </w:p>
    <w:p>
      <w:pPr>
        <w:pStyle w:val="FirstParagraph"/>
      </w:pPr>
      <w:r>
        <w:t xml:space="preserve">For consecutive snapshots</w:t>
      </w:r>
      <w:r>
        <w:t xml:space="preserve"> </w:t>
      </w:r>
      <m:oMath>
        <m:sSub>
          <m:e>
            <m:r>
              <m:t>G</m:t>
            </m:r>
          </m:e>
          <m:sub>
            <m:r>
              <m:t>t</m:t>
            </m:r>
            <m:r>
              <m:rPr>
                <m:sty m:val="p"/>
              </m:rPr>
              <m:t>−</m:t>
            </m:r>
            <m:r>
              <m:t>1</m:t>
            </m:r>
          </m:sub>
        </m:sSub>
      </m:oMath>
      <w:r>
        <w:t xml:space="preserve"> </w:t>
      </w:r>
      <w:r>
        <w:t xml:space="preserve">and</w:t>
      </w:r>
      <w:r>
        <w:t xml:space="preserve"> </w:t>
      </w:r>
      <m:oMath>
        <m:sSub>
          <m:e>
            <m:r>
              <m:t>G</m:t>
            </m:r>
          </m:e>
          <m:sub>
            <m:r>
              <m:t>t</m:t>
            </m:r>
          </m:sub>
        </m:sSub>
      </m:oMath>
      <w:r>
        <w:t xml:space="preserve">:</w:t>
      </w:r>
      <w:r>
        <w:t xml:space="preserve"> </w:t>
      </w:r>
      <w:r>
        <w:t xml:space="preserve">*</w:t>
      </w:r>
      <w:r>
        <w:t xml:space="preserve"> </w:t>
      </w:r>
      <w:r>
        <w:rPr>
          <w:b/>
          <w:bCs/>
        </w:rPr>
        <w:t xml:space="preserve">Edge Recurrence Rate:</w:t>
      </w:r>
      <w:r>
        <w:t xml:space="preserve"> </w:t>
      </w:r>
      <m:oMath>
        <m:sSub>
          <m:e>
            <m:r>
              <m:t>R</m:t>
            </m:r>
          </m:e>
          <m:sub>
            <m:r>
              <m:t>t</m:t>
            </m:r>
          </m:sub>
        </m:sSub>
        <m:r>
          <m:rPr>
            <m:sty m:val="p"/>
          </m:rPr>
          <m:t>=</m:t>
        </m:r>
        <m:f>
          <m:fPr>
            <m:type m:val="bar"/>
          </m:fPr>
          <m:num>
            <m:r>
              <m:rPr>
                <m:sty m:val="p"/>
              </m:rPr>
              <m:t>|</m:t>
            </m:r>
            <m:sSub>
              <m:e>
                <m:r>
                  <m:t>E</m:t>
                </m:r>
              </m:e>
              <m:sub>
                <m:r>
                  <m:t>t</m:t>
                </m:r>
              </m:sub>
            </m:sSub>
            <m:r>
              <m:rPr>
                <m:sty m:val="p"/>
              </m:rPr>
              <m:t>∩</m:t>
            </m:r>
            <m:sSub>
              <m:e>
                <m:r>
                  <m:t>E</m:t>
                </m:r>
              </m:e>
              <m:sub>
                <m:r>
                  <m:t>t</m:t>
                </m:r>
                <m:r>
                  <m:rPr>
                    <m:sty m:val="p"/>
                  </m:rPr>
                  <m:t>−</m:t>
                </m:r>
                <m:r>
                  <m:t>1</m:t>
                </m:r>
              </m:sub>
            </m:sSub>
            <m:r>
              <m:rPr>
                <m:sty m:val="p"/>
              </m:rPr>
              <m:t>|</m:t>
            </m:r>
          </m:num>
          <m:den>
            <m:r>
              <m:rPr>
                <m:sty m:val="p"/>
              </m:rPr>
              <m:t>|</m:t>
            </m:r>
            <m:sSub>
              <m:e>
                <m:r>
                  <m:t>E</m:t>
                </m:r>
              </m:e>
              <m:sub>
                <m:r>
                  <m:t>t</m:t>
                </m:r>
              </m:sub>
            </m:sSub>
            <m:r>
              <m:rPr>
                <m:sty m:val="p"/>
              </m:rPr>
              <m:t>|</m:t>
            </m:r>
          </m:den>
        </m:f>
      </m:oMath>
      <w:r>
        <w:t xml:space="preserve"> </w:t>
      </w:r>
      <w:r>
        <w:t xml:space="preserve">*</w:t>
      </w:r>
      <w:r>
        <w:t xml:space="preserve"> </w:t>
      </w:r>
      <w:r>
        <w:rPr>
          <w:b/>
          <w:bCs/>
        </w:rPr>
        <w:t xml:space="preserve">Edge Novelty Rate:</w:t>
      </w:r>
      <w:r>
        <w:t xml:space="preserve"> </w:t>
      </w:r>
      <m:oMath>
        <m:sSub>
          <m:e>
            <m:r>
              <m:t>N</m:t>
            </m:r>
          </m:e>
          <m:sub>
            <m:r>
              <m:t>t</m:t>
            </m:r>
          </m:sub>
        </m:sSub>
        <m:r>
          <m:rPr>
            <m:sty m:val="p"/>
          </m:rPr>
          <m:t>=</m:t>
        </m:r>
        <m:f>
          <m:fPr>
            <m:type m:val="bar"/>
          </m:fPr>
          <m:num>
            <m:r>
              <m:rPr>
                <m:sty m:val="p"/>
              </m:rPr>
              <m:t>|</m:t>
            </m:r>
            <m:sSub>
              <m:e>
                <m:r>
                  <m:t>E</m:t>
                </m:r>
              </m:e>
              <m:sub>
                <m:r>
                  <m:t>t</m:t>
                </m:r>
              </m:sub>
            </m:sSub>
            <m:r>
              <m:rPr>
                <m:sty m:val="p"/>
              </m:rPr>
              <m:t>\</m:t>
            </m:r>
            <m:sSub>
              <m:e>
                <m:r>
                  <m:t>E</m:t>
                </m:r>
              </m:e>
              <m:sub>
                <m:r>
                  <m:t>t</m:t>
                </m:r>
                <m:r>
                  <m:rPr>
                    <m:sty m:val="p"/>
                  </m:rPr>
                  <m:t>−</m:t>
                </m:r>
                <m:r>
                  <m:t>1</m:t>
                </m:r>
              </m:sub>
            </m:sSub>
            <m:r>
              <m:rPr>
                <m:sty m:val="p"/>
              </m:rPr>
              <m:t>|</m:t>
            </m:r>
          </m:num>
          <m:den>
            <m:r>
              <m:rPr>
                <m:sty m:val="p"/>
              </m:rPr>
              <m:t>|</m:t>
            </m:r>
            <m:sSub>
              <m:e>
                <m:r>
                  <m:t>E</m:t>
                </m:r>
              </m:e>
              <m:sub>
                <m:r>
                  <m:t>t</m:t>
                </m:r>
              </m:sub>
            </m:sSub>
            <m:r>
              <m:rPr>
                <m:sty m:val="p"/>
              </m:rPr>
              <m:t>|</m:t>
            </m:r>
          </m:den>
        </m:f>
        <m:r>
          <m:rPr>
            <m:sty m:val="p"/>
          </m:rPr>
          <m:t>=</m:t>
        </m:r>
        <m:r>
          <m:t>1</m:t>
        </m:r>
        <m:r>
          <m:rPr>
            <m:sty m:val="p"/>
          </m:rPr>
          <m:t>−</m:t>
        </m:r>
        <m:sSub>
          <m:e>
            <m:r>
              <m:t>R</m:t>
            </m:r>
          </m:e>
          <m:sub>
            <m:r>
              <m:t>t</m:t>
            </m:r>
          </m:sub>
        </m:sSub>
      </m:oMath>
      <w:r>
        <w:t xml:space="preserve"> </w:t>
      </w:r>
      <w:r>
        <w:t xml:space="preserve">*</w:t>
      </w:r>
      <w:r>
        <w:t xml:space="preserve"> </w:t>
      </w:r>
      <w:r>
        <w:rPr>
          <w:b/>
          <w:bCs/>
        </w:rPr>
        <w:t xml:space="preserve">Symmetric Turnover (Jaccard Distance):</w:t>
      </w:r>
      <w:r>
        <w:t xml:space="preserve"> </w:t>
      </w:r>
      <m:oMath>
        <m:sSub>
          <m:e>
            <m:r>
              <m:t>T</m:t>
            </m:r>
          </m:e>
          <m:sub>
            <m:r>
              <m:rPr>
                <m:nor/>
                <m:sty m:val="p"/>
              </m:rPr>
              <m:t>Jaccard</m:t>
            </m:r>
          </m:sub>
        </m:sSub>
        <m:r>
          <m:rPr>
            <m:sty m:val="p"/>
          </m:rPr>
          <m:t>=</m:t>
        </m:r>
        <m:f>
          <m:fPr>
            <m:type m:val="bar"/>
          </m:fPr>
          <m:num>
            <m:r>
              <m:rPr>
                <m:sty m:val="p"/>
              </m:rPr>
              <m:t>|</m:t>
            </m:r>
            <m:sSub>
              <m:e>
                <m:r>
                  <m:t>E</m:t>
                </m:r>
              </m:e>
              <m:sub>
                <m:r>
                  <m:t>t</m:t>
                </m:r>
              </m:sub>
            </m:sSub>
            <m:r>
              <m:rPr>
                <m:sty m:val="p"/>
              </m:rPr>
              <m:t>△</m:t>
            </m:r>
            <m:sSub>
              <m:e>
                <m:r>
                  <m:t>E</m:t>
                </m:r>
              </m:e>
              <m:sub>
                <m:r>
                  <m:t>t</m:t>
                </m:r>
                <m:r>
                  <m:rPr>
                    <m:sty m:val="p"/>
                  </m:rPr>
                  <m:t>−</m:t>
                </m:r>
                <m:r>
                  <m:t>1</m:t>
                </m:r>
              </m:sub>
            </m:sSub>
            <m:r>
              <m:rPr>
                <m:sty m:val="p"/>
              </m:rPr>
              <m:t>|</m:t>
            </m:r>
          </m:num>
          <m:den>
            <m:r>
              <m:rPr>
                <m:sty m:val="p"/>
              </m:rPr>
              <m:t>|</m:t>
            </m:r>
            <m:sSub>
              <m:e>
                <m:r>
                  <m:t>E</m:t>
                </m:r>
              </m:e>
              <m:sub>
                <m:r>
                  <m:t>t</m:t>
                </m:r>
              </m:sub>
            </m:sSub>
            <m:r>
              <m:rPr>
                <m:sty m:val="p"/>
              </m:rPr>
              <m:t>∪</m:t>
            </m:r>
            <m:sSub>
              <m:e>
                <m:r>
                  <m:t>E</m:t>
                </m:r>
              </m:e>
              <m:sub>
                <m:r>
                  <m:t>t</m:t>
                </m:r>
                <m:r>
                  <m:rPr>
                    <m:sty m:val="p"/>
                  </m:rPr>
                  <m:t>−</m:t>
                </m:r>
                <m:r>
                  <m:t>1</m:t>
                </m:r>
              </m:sub>
            </m:sSub>
            <m:r>
              <m:rPr>
                <m:sty m:val="p"/>
              </m:rPr>
              <m:t>|</m:t>
            </m:r>
          </m:den>
        </m:f>
        <m:r>
          <m:rPr>
            <m:sty m:val="p"/>
          </m:rPr>
          <m:t>=</m:t>
        </m:r>
        <m:f>
          <m:fPr>
            <m:type m:val="bar"/>
          </m:fPr>
          <m:num>
            <m:r>
              <m:rPr>
                <m:sty m:val="p"/>
              </m:rPr>
              <m:t>|</m:t>
            </m:r>
            <m:sSub>
              <m:e>
                <m:r>
                  <m:t>E</m:t>
                </m:r>
              </m:e>
              <m:sub>
                <m:r>
                  <m:t>t</m:t>
                </m:r>
              </m:sub>
            </m:sSub>
            <m:r>
              <m:rPr>
                <m:sty m:val="p"/>
              </m:rPr>
              <m:t>\</m:t>
            </m:r>
            <m:sSub>
              <m:e>
                <m:r>
                  <m:t>E</m:t>
                </m:r>
              </m:e>
              <m:sub>
                <m:r>
                  <m:t>t</m:t>
                </m:r>
                <m:r>
                  <m:rPr>
                    <m:sty m:val="p"/>
                  </m:rPr>
                  <m:t>−</m:t>
                </m:r>
                <m:r>
                  <m:t>1</m:t>
                </m:r>
              </m:sub>
            </m:sSub>
            <m:r>
              <m:rPr>
                <m:sty m:val="p"/>
              </m:rPr>
              <m:t>|</m:t>
            </m:r>
            <m:r>
              <m:rPr>
                <m:sty m:val="p"/>
              </m:rPr>
              <m:t>+</m:t>
            </m:r>
            <m:r>
              <m:rPr>
                <m:sty m:val="p"/>
              </m:rPr>
              <m:t>|</m:t>
            </m:r>
            <m:sSub>
              <m:e>
                <m:r>
                  <m:t>E</m:t>
                </m:r>
              </m:e>
              <m:sub>
                <m:r>
                  <m:t>t</m:t>
                </m:r>
                <m:r>
                  <m:rPr>
                    <m:sty m:val="p"/>
                  </m:rPr>
                  <m:t>−</m:t>
                </m:r>
                <m:r>
                  <m:t>1</m:t>
                </m:r>
              </m:sub>
            </m:sSub>
            <m:r>
              <m:rPr>
                <m:sty m:val="p"/>
              </m:rPr>
              <m:t>\</m:t>
            </m:r>
            <m:sSub>
              <m:e>
                <m:r>
                  <m:t>E</m:t>
                </m:r>
              </m:e>
              <m:sub>
                <m:r>
                  <m:t>t</m:t>
                </m:r>
              </m:sub>
            </m:sSub>
            <m:r>
              <m:rPr>
                <m:sty m:val="p"/>
              </m:rPr>
              <m:t>|</m:t>
            </m:r>
          </m:num>
          <m:den>
            <m:r>
              <m:rPr>
                <m:sty m:val="p"/>
              </m:rPr>
              <m:t>|</m:t>
            </m:r>
            <m:sSub>
              <m:e>
                <m:r>
                  <m:t>E</m:t>
                </m:r>
              </m:e>
              <m:sub>
                <m:r>
                  <m:t>t</m:t>
                </m:r>
              </m:sub>
            </m:sSub>
            <m:r>
              <m:rPr>
                <m:sty m:val="p"/>
              </m:rPr>
              <m:t>∪</m:t>
            </m:r>
            <m:sSub>
              <m:e>
                <m:r>
                  <m:t>E</m:t>
                </m:r>
              </m:e>
              <m:sub>
                <m:r>
                  <m:t>t</m:t>
                </m:r>
                <m:r>
                  <m:rPr>
                    <m:sty m:val="p"/>
                  </m:rPr>
                  <m:t>−</m:t>
                </m:r>
                <m:r>
                  <m:t>1</m:t>
                </m:r>
              </m:sub>
            </m:sSub>
            <m:r>
              <m:rPr>
                <m:sty m:val="p"/>
              </m:rPr>
              <m:t>|</m:t>
            </m:r>
          </m:den>
        </m:f>
      </m:oMath>
      <w:r>
        <w:t xml:space="preserve"> </w:t>
      </w:r>
      <w:r>
        <w:t xml:space="preserve">*</w:t>
      </w:r>
      <w:r>
        <w:t xml:space="preserve"> </w:t>
      </w:r>
      <w:r>
        <w:rPr>
          <w:b/>
          <w:bCs/>
        </w:rPr>
        <w:t xml:space="preserve">Normalized Symmetric Difference (Dice Dissimilarity):</w:t>
      </w:r>
      <w:r>
        <w:t xml:space="preserve"> </w:t>
      </w:r>
      <m:oMath>
        <m:sSub>
          <m:e>
            <m:r>
              <m:t>T</m:t>
            </m:r>
          </m:e>
          <m:sub>
            <m:r>
              <m:rPr>
                <m:nor/>
                <m:sty m:val="p"/>
              </m:rPr>
              <m:t>Dice</m:t>
            </m:r>
          </m:sub>
        </m:sSub>
        <m:r>
          <m:rPr>
            <m:sty m:val="p"/>
          </m:rPr>
          <m:t>=</m:t>
        </m:r>
        <m:f>
          <m:fPr>
            <m:type m:val="bar"/>
          </m:fPr>
          <m:num>
            <m:r>
              <m:rPr>
                <m:sty m:val="p"/>
              </m:rPr>
              <m:t>|</m:t>
            </m:r>
            <m:sSub>
              <m:e>
                <m:r>
                  <m:t>E</m:t>
                </m:r>
              </m:e>
              <m:sub>
                <m:r>
                  <m:t>t</m:t>
                </m:r>
              </m:sub>
            </m:sSub>
            <m:r>
              <m:rPr>
                <m:sty m:val="p"/>
              </m:rPr>
              <m:t>△</m:t>
            </m:r>
            <m:sSub>
              <m:e>
                <m:r>
                  <m:t>E</m:t>
                </m:r>
              </m:e>
              <m:sub>
                <m:r>
                  <m:t>t</m:t>
                </m:r>
                <m:r>
                  <m:rPr>
                    <m:sty m:val="p"/>
                  </m:rPr>
                  <m:t>−</m:t>
                </m:r>
                <m:r>
                  <m:t>1</m:t>
                </m:r>
              </m:sub>
            </m:sSub>
            <m:r>
              <m:rPr>
                <m:sty m:val="p"/>
              </m:rPr>
              <m:t>|</m:t>
            </m:r>
          </m:num>
          <m:den>
            <m:r>
              <m:rPr>
                <m:sty m:val="p"/>
              </m:rPr>
              <m:t>|</m:t>
            </m:r>
            <m:sSub>
              <m:e>
                <m:r>
                  <m:t>E</m:t>
                </m:r>
              </m:e>
              <m:sub>
                <m:r>
                  <m:t>t</m:t>
                </m:r>
              </m:sub>
            </m:sSub>
            <m:r>
              <m:rPr>
                <m:sty m:val="p"/>
              </m:rPr>
              <m:t>|</m:t>
            </m:r>
            <m:r>
              <m:rPr>
                <m:sty m:val="p"/>
              </m:rPr>
              <m:t>+</m:t>
            </m:r>
            <m:r>
              <m:rPr>
                <m:sty m:val="p"/>
              </m:rPr>
              <m:t>|</m:t>
            </m:r>
            <m:sSub>
              <m:e>
                <m:r>
                  <m:t>E</m:t>
                </m:r>
              </m:e>
              <m:sub>
                <m:r>
                  <m:t>t</m:t>
                </m:r>
                <m:r>
                  <m:rPr>
                    <m:sty m:val="p"/>
                  </m:rPr>
                  <m:t>−</m:t>
                </m:r>
                <m:r>
                  <m:t>1</m:t>
                </m:r>
              </m:sub>
            </m:sSub>
            <m:r>
              <m:rPr>
                <m:sty m:val="p"/>
              </m:rPr>
              <m:t>|</m:t>
            </m:r>
          </m:den>
        </m:f>
        <m:r>
          <m:rPr>
            <m:sty m:val="p"/>
          </m:rPr>
          <m:t>=</m:t>
        </m:r>
        <m:f>
          <m:fPr>
            <m:type m:val="bar"/>
          </m:fPr>
          <m:num>
            <m:r>
              <m:rPr>
                <m:sty m:val="p"/>
              </m:rPr>
              <m:t>|</m:t>
            </m:r>
            <m:sSub>
              <m:e>
                <m:r>
                  <m:t>E</m:t>
                </m:r>
              </m:e>
              <m:sub>
                <m:r>
                  <m:t>t</m:t>
                </m:r>
              </m:sub>
            </m:sSub>
            <m:r>
              <m:rPr>
                <m:sty m:val="p"/>
              </m:rPr>
              <m:t>\</m:t>
            </m:r>
            <m:sSub>
              <m:e>
                <m:r>
                  <m:t>E</m:t>
                </m:r>
              </m:e>
              <m:sub>
                <m:r>
                  <m:t>t</m:t>
                </m:r>
                <m:r>
                  <m:rPr>
                    <m:sty m:val="p"/>
                  </m:rPr>
                  <m:t>−</m:t>
                </m:r>
                <m:r>
                  <m:t>1</m:t>
                </m:r>
              </m:sub>
            </m:sSub>
            <m:r>
              <m:rPr>
                <m:sty m:val="p"/>
              </m:rPr>
              <m:t>|</m:t>
            </m:r>
            <m:r>
              <m:rPr>
                <m:sty m:val="p"/>
              </m:rPr>
              <m:t>+</m:t>
            </m:r>
            <m:r>
              <m:rPr>
                <m:sty m:val="p"/>
              </m:rPr>
              <m:t>|</m:t>
            </m:r>
            <m:sSub>
              <m:e>
                <m:r>
                  <m:t>E</m:t>
                </m:r>
              </m:e>
              <m:sub>
                <m:r>
                  <m:t>t</m:t>
                </m:r>
                <m:r>
                  <m:rPr>
                    <m:sty m:val="p"/>
                  </m:rPr>
                  <m:t>−</m:t>
                </m:r>
                <m:r>
                  <m:t>1</m:t>
                </m:r>
              </m:sub>
            </m:sSub>
            <m:r>
              <m:rPr>
                <m:sty m:val="p"/>
              </m:rPr>
              <m:t>\</m:t>
            </m:r>
            <m:sSub>
              <m:e>
                <m:r>
                  <m:t>E</m:t>
                </m:r>
              </m:e>
              <m:sub>
                <m:r>
                  <m:t>t</m:t>
                </m:r>
              </m:sub>
            </m:sSub>
            <m:r>
              <m:rPr>
                <m:sty m:val="p"/>
              </m:rPr>
              <m:t>|</m:t>
            </m:r>
          </m:num>
          <m:den>
            <m:r>
              <m:rPr>
                <m:sty m:val="p"/>
              </m:rPr>
              <m:t>|</m:t>
            </m:r>
            <m:sSub>
              <m:e>
                <m:r>
                  <m:t>E</m:t>
                </m:r>
              </m:e>
              <m:sub>
                <m:r>
                  <m:t>t</m:t>
                </m:r>
              </m:sub>
            </m:sSub>
            <m:r>
              <m:rPr>
                <m:sty m:val="p"/>
              </m:rPr>
              <m:t>|</m:t>
            </m:r>
            <m:r>
              <m:rPr>
                <m:sty m:val="p"/>
              </m:rPr>
              <m:t>+</m:t>
            </m:r>
            <m:r>
              <m:rPr>
                <m:sty m:val="p"/>
              </m:rPr>
              <m:t>|</m:t>
            </m:r>
            <m:sSub>
              <m:e>
                <m:r>
                  <m:t>E</m:t>
                </m:r>
              </m:e>
              <m:sub>
                <m:r>
                  <m:t>t</m:t>
                </m:r>
                <m:r>
                  <m:rPr>
                    <m:sty m:val="p"/>
                  </m:rPr>
                  <m:t>−</m:t>
                </m:r>
                <m:r>
                  <m:t>1</m:t>
                </m:r>
              </m:sub>
            </m:sSub>
            <m:r>
              <m:rPr>
                <m:sty m:val="p"/>
              </m:rPr>
              <m:t>|</m:t>
            </m:r>
          </m:den>
        </m:f>
      </m:oMath>
    </w:p>
    <w:p>
      <w:pPr>
        <w:pStyle w:val="BodyText"/>
      </w:pPr>
      <w:r>
        <w:t xml:space="preserve">Crucially, edge recurrence</w:t>
      </w:r>
      <w:r>
        <w:t xml:space="preserve"> </w:t>
      </w:r>
      <m:oMath>
        <m:sSub>
          <m:e>
            <m:r>
              <m:t>R</m:t>
            </m:r>
          </m:e>
          <m:sub>
            <m:r>
              <m:t>t</m:t>
            </m:r>
          </m:sub>
        </m:sSub>
      </m:oMath>
      <w:r>
        <w:t xml:space="preserve"> </w:t>
      </w:r>
      <w:r>
        <w:t xml:space="preserve">and novelty</w:t>
      </w:r>
      <w:r>
        <w:t xml:space="preserve"> </w:t>
      </w:r>
      <m:oMath>
        <m:sSub>
          <m:e>
            <m:r>
              <m:t>N</m:t>
            </m:r>
          </m:e>
          <m:sub>
            <m:r>
              <m:t>t</m:t>
            </m:r>
          </m:sub>
        </m:sSub>
      </m:oMath>
      <w:r>
        <w:t xml:space="preserve"> </w:t>
      </w:r>
      <w:r>
        <w:t xml:space="preserve">are directional (asymmetric) rates normalized strictly by the target snapshot volume</w:t>
      </w:r>
      <w:r>
        <w:t xml:space="preserve"> </w:t>
      </w:r>
      <m:oMath>
        <m:r>
          <m:rPr>
            <m:sty m:val="p"/>
          </m:rPr>
          <m:t>|</m:t>
        </m:r>
        <m:sSub>
          <m:e>
            <m:r>
              <m:t>E</m:t>
            </m:r>
          </m:e>
          <m:sub>
            <m:r>
              <m:t>t</m:t>
            </m:r>
          </m:sub>
        </m:sSub>
        <m:r>
          <m:rPr>
            <m:sty m:val="p"/>
          </m:rPr>
          <m:t>|</m:t>
        </m:r>
      </m:oMath>
      <w:r>
        <w:t xml:space="preserve">. In contrast, turnover metrics (</w:t>
      </w:r>
      <m:oMath>
        <m:sSub>
          <m:e>
            <m:r>
              <m:t>T</m:t>
            </m:r>
          </m:e>
          <m:sub>
            <m:r>
              <m:rPr>
                <m:nor/>
                <m:sty m:val="p"/>
              </m:rPr>
              <m:t>Jaccard</m:t>
            </m:r>
          </m:sub>
        </m:sSub>
      </m:oMath>
      <w:r>
        <w:t xml:space="preserve"> </w:t>
      </w:r>
      <w:r>
        <w:t xml:space="preserve">and</w:t>
      </w:r>
      <w:r>
        <w:t xml:space="preserve"> </w:t>
      </w:r>
      <m:oMath>
        <m:sSub>
          <m:e>
            <m:r>
              <m:t>T</m:t>
            </m:r>
          </m:e>
          <m:sub>
            <m:r>
              <m:rPr>
                <m:nor/>
                <m:sty m:val="p"/>
              </m:rPr>
              <m:t>Dice</m:t>
            </m:r>
          </m:sub>
        </m:sSub>
      </m:oMath>
      <w:r>
        <w:t xml:space="preserve">) are symmetric distance metrics over edge sets capturing total bilateral flux across both snapshots. They are complementary measures of graph dynamics, not interchangeable equivalents.</w:t>
      </w:r>
    </w:p>
    <w:p>
      <w:r>
        <w:pict>
          <v:rect style="width:0;height:1.5pt" o:hralign="center" o:hrstd="t" o:hr="t"/>
        </w:pict>
      </w:r>
    </w:p>
    <w:bookmarkEnd w:id="30"/>
    <w:bookmarkEnd w:id="31"/>
    <w:bookmarkStart w:id="41" w:name="experimental-setup-datasets"/>
    <w:p>
      <w:pPr>
        <w:pStyle w:val="Heading2"/>
      </w:pPr>
      <w:r>
        <w:t xml:space="preserve">4. Experimental Setup &amp; Datasets</w:t>
      </w:r>
    </w:p>
    <w:bookmarkStart w:id="35" w:name="dataset-scope-and-provenance"/>
    <w:p>
      <w:pPr>
        <w:pStyle w:val="Heading3"/>
      </w:pPr>
      <w:r>
        <w:t xml:space="preserve">4.1 Dataset Scope and Provenance</w:t>
      </w:r>
    </w:p>
    <w:p>
      <w:pPr>
        <w:pStyle w:val="Compact"/>
        <w:numPr>
          <w:ilvl w:val="0"/>
          <w:numId w:val="1003"/>
        </w:numPr>
      </w:pPr>
      <w:r>
        <w:rPr>
          <w:b/>
          <w:bCs/>
        </w:rPr>
        <w:t xml:space="preserve">APEX-IDS2026 (Enterprise Deployment Telemetry):</w:t>
      </w:r>
    </w:p>
    <w:p>
      <w:pPr>
        <w:pStyle w:val="Compact"/>
        <w:numPr>
          <w:ilvl w:val="1"/>
          <w:numId w:val="1004"/>
        </w:numPr>
      </w:pPr>
      <w:r>
        <w:rPr>
          <w:i/>
          <w:iCs/>
        </w:rPr>
        <w:t xml:space="preserve">Span:</w:t>
      </w:r>
      <w:r>
        <w:t xml:space="preserve"> </w:t>
      </w:r>
      <w:r>
        <w:t xml:space="preserve">44 continuous days (2026-06-21 to 2026-08-03).</w:t>
      </w:r>
    </w:p>
    <w:p>
      <w:pPr>
        <w:pStyle w:val="Compact"/>
        <w:numPr>
          <w:ilvl w:val="1"/>
          <w:numId w:val="1004"/>
        </w:numPr>
      </w:pPr>
      <w:r>
        <w:rPr>
          <w:i/>
          <w:iCs/>
        </w:rPr>
        <w:t xml:space="preserve">Volume:</w:t>
      </w:r>
      <w:r>
        <w:t xml:space="preserve"> </w:t>
      </w:r>
      <w:r>
        <w:t xml:space="preserve">69,107,018 curated network flows across 412,906 source IPs and 42,421 destination IPs.</w:t>
      </w:r>
    </w:p>
    <w:p>
      <w:pPr>
        <w:pStyle w:val="Compact"/>
        <w:numPr>
          <w:ilvl w:val="1"/>
          <w:numId w:val="1004"/>
        </w:numPr>
      </w:pPr>
      <w:r>
        <w:rPr>
          <w:i/>
          <w:iCs/>
        </w:rPr>
        <w:t xml:space="preserve">Archive Integrity:</w:t>
      </w:r>
      <w:r>
        <w:t xml:space="preserve"> </w:t>
      </w:r>
      <w:r>
        <w:t xml:space="preserve">The local dataset archive (</w:t>
      </w:r>
      <w:r>
        <w:rPr>
          <w:rStyle w:val="VerbatimChar"/>
        </w:rPr>
        <w:t xml:space="preserve">apex_ids2026_hc_subset.zip</w:t>
      </w:r>
      <w:r>
        <w:t xml:space="preserve">, 1,196,059,916 bytes) was independently verified against Zenodo deposit DOI</w:t>
      </w:r>
      <w:r>
        <w:t xml:space="preserve"> </w:t>
      </w:r>
      <w:r>
        <w:rPr>
          <w:rStyle w:val="VerbatimChar"/>
        </w:rPr>
        <w:t xml:space="preserve">10.5281/zenodo.22013914</w:t>
      </w:r>
      <w:r>
        <w:t xml:space="preserve"> </w:t>
      </w:r>
      <w:r>
        <w:t xml:space="preserve">(Record 22013914), matching the official MD5 checksum</w:t>
      </w:r>
      <w:r>
        <w:t xml:space="preserve"> </w:t>
      </w:r>
      <w:r>
        <w:rPr>
          <w:rStyle w:val="VerbatimChar"/>
        </w:rPr>
        <w:t xml:space="preserve">115ed72bb8759d3ce90fe17c52a0ee98</w:t>
      </w:r>
      <w:r>
        <w:t xml:space="preserve"> </w:t>
      </w:r>
      <w:r>
        <w:t xml:space="preserve">bit-for-bit. The extracted Parquet file (1,462,787,712 bytes; SHA-256</w:t>
      </w:r>
      <w:r>
        <w:t xml:space="preserve"> </w:t>
      </w:r>
      <w:r>
        <w:rPr>
          <w:rStyle w:val="VerbatimChar"/>
        </w:rPr>
        <w:t xml:space="preserve">7e7855964ddc8061804fa48acfd6c2a3e1891462466654f9294cdab58744730c</w:t>
      </w:r>
      <w:r>
        <w:t xml:space="preserve">) contains exactly 69,107,018 rows.</w:t>
      </w:r>
    </w:p>
    <w:p>
      <w:pPr>
        <w:pStyle w:val="Compact"/>
        <w:numPr>
          <w:ilvl w:val="1"/>
          <w:numId w:val="1004"/>
        </w:numPr>
      </w:pPr>
      <w:r>
        <w:rPr>
          <w:i/>
          <w:iCs/>
        </w:rPr>
        <w:t xml:space="preserve">Label Composition:</w:t>
      </w:r>
      <w:r>
        <w:t xml:space="preserve"> </w:t>
      </w:r>
      <w:r>
        <w:t xml:space="preserve">The 61.07% attack share (42,205,903</w:t>
      </w:r>
      <w:r>
        <w:t xml:space="preserve"> </w:t>
      </w:r>
      <w:r>
        <w:rPr>
          <w:rStyle w:val="VerbatimChar"/>
        </w:rPr>
        <w:t xml:space="preserve">Attack_Verified</w:t>
      </w:r>
      <w:r>
        <w:t xml:space="preserve"> </w:t>
      </w:r>
      <w:r>
        <w:t xml:space="preserve">flows vs. 26,901,115</w:t>
      </w:r>
      <w:r>
        <w:t xml:space="preserve"> </w:t>
      </w:r>
      <w:r>
        <w:rPr>
          <w:rStyle w:val="VerbatimChar"/>
        </w:rPr>
        <w:t xml:space="preserve">Benign_Verified</w:t>
      </w:r>
      <w:r>
        <w:t xml:space="preserve"> </w:t>
      </w:r>
      <w:r>
        <w:t xml:space="preserve">flows) is the direct arithmetic consequence of the creators’ High-Confidence subset selection, which isolates Tier 1 (physical honeypot-matched attacks) and Tier 3 (validated benign traffic) while excluding unverified or heuristic tiers.</w:t>
      </w:r>
    </w:p>
    <w:p>
      <w:pPr>
        <w:pStyle w:val="Compact"/>
        <w:numPr>
          <w:ilvl w:val="1"/>
          <w:numId w:val="1004"/>
        </w:numPr>
      </w:pPr>
      <w:r>
        <w:rPr>
          <w:i/>
          <w:iCs/>
        </w:rPr>
        <w:t xml:space="preserve">Provenance Status:</w:t>
      </w:r>
      <w:r>
        <w:t xml:space="preserve"> </w:t>
      </w:r>
      <w:r>
        <w:t xml:space="preserve">While archive file integrity (via cryptographic MD5 checksum against the official Zenodo record), extracted row count, timestamp range (43.18 calendar days), and anonymized IP graph structure are confirmed from the local distribution, operational environment claims (e.g., capture on a live MikroTik router within ISP production infrastructure, 13,638 unique threat actors from 60 countries, and a 0% false positive rate for honeypot correlation) represent</w:t>
      </w:r>
      <w:r>
        <w:t xml:space="preserve"> </w:t>
      </w:r>
      <w:r>
        <w:rPr>
          <w:i/>
          <w:iCs/>
        </w:rPr>
        <w:t xml:space="preserve">dataset assertions</w:t>
      </w:r>
      <w:r>
        <w:t xml:space="preserve"> </w:t>
      </w:r>
      <w:r>
        <w:t xml:space="preserve">documented in the release that cannot be independently confirmed from NetFlow headers alone due to the absence of raw PCAP captures.</w:t>
      </w:r>
    </w:p>
    <w:p>
      <w:pPr>
        <w:pStyle w:val="Compact"/>
        <w:numPr>
          <w:ilvl w:val="1"/>
          <w:numId w:val="1004"/>
        </w:numPr>
      </w:pPr>
      <w:r>
        <w:rPr>
          <w:i/>
          <w:iCs/>
        </w:rPr>
        <w:t xml:space="preserve">Daily Snapshots &amp; Boundary Handling:</w:t>
      </w:r>
      <w:r>
        <w:t xml:space="preserve"> </w:t>
      </w:r>
      <w:r>
        <w:t xml:space="preserve">44 daily graphs (</w:t>
      </w:r>
      <m:oMath>
        <m:r>
          <m:t>203</m:t>
        </m:r>
        <m:r>
          <m:rPr>
            <m:sty m:val="p"/>
          </m:rPr>
          <m:t>,</m:t>
        </m:r>
        <m:r>
          <m:t>444</m:t>
        </m:r>
        <m:r>
          <m:rPr>
            <m:sty m:val="p"/>
          </m:rPr>
          <m:t>±</m:t>
        </m:r>
        <m:r>
          <m:t>40</m:t>
        </m:r>
        <m:r>
          <m:rPr>
            <m:sty m:val="p"/>
          </m:rPr>
          <m:t>,</m:t>
        </m:r>
        <m:r>
          <m:t>234</m:t>
        </m:r>
      </m:oMath>
      <w:r>
        <w:t xml:space="preserve"> </w:t>
      </w:r>
      <w:r>
        <w:t xml:space="preserve">edges per snapshot). The telemetry capture commences midday on Day 0 (2026-06-21, 216,676 flows; 27,330 directed edges) and terminates early on Day 43 (2026-08-03, 34,646 flows; 13,446 directed edges), marking these intervals as truncated capture boundaries (</w:t>
      </w:r>
      <w:r>
        <w:rPr>
          <w:rStyle w:val="VerbatimChar"/>
        </w:rPr>
        <w:t xml:space="preserve">is_partial_boundary=True</w:t>
      </w:r>
      <w:r>
        <w:t xml:space="preserve">). Rather than artificially filtering or synthesizing boundary traffic, these intervals are evaluated directly within the chronological sequence, accounting for the boundary volume dips observed in temporal trajectories (Figure 3) and testing model resilience to real-world operational monitoring start/stop boundaries.</w:t>
      </w:r>
    </w:p>
    <w:p>
      <w:pPr>
        <w:pStyle w:val="Compact"/>
        <w:numPr>
          <w:ilvl w:val="1"/>
          <w:numId w:val="1004"/>
        </w:numPr>
      </w:pPr>
      <w:r>
        <w:rPr>
          <w:i/>
          <w:iCs/>
        </w:rPr>
        <w:t xml:space="preserve">Splits:</w:t>
      </w:r>
      <w:r>
        <w:t xml:space="preserve"> </w:t>
      </w:r>
      <w:r>
        <w:t xml:space="preserve">Days 0–24 (Train, 25 snapshots), Days 25–31 (Validation, 7 snapshots), Days 32–43 (Test, 12 transitions).</w:t>
      </w:r>
    </w:p>
    <w:p>
      <w:pPr>
        <w:pStyle w:val="Compact"/>
        <w:numPr>
          <w:ilvl w:val="0"/>
          <w:numId w:val="1003"/>
        </w:numPr>
      </w:pPr>
      <w:r>
        <w:rPr>
          <w:b/>
          <w:bCs/>
        </w:rPr>
        <w:t xml:space="preserve">CIC-IDS2017 (Laboratory Cyber-Range Testbed):</w:t>
      </w:r>
    </w:p>
    <w:p>
      <w:pPr>
        <w:pStyle w:val="Compact"/>
        <w:numPr>
          <w:ilvl w:val="1"/>
          <w:numId w:val="1005"/>
        </w:numPr>
      </w:pPr>
      <w:r>
        <w:rPr>
          <w:i/>
          <w:iCs/>
        </w:rPr>
        <w:t xml:space="preserve">Span:</w:t>
      </w:r>
      <w:r>
        <w:t xml:space="preserve"> </w:t>
      </w:r>
      <w:r>
        <w:t xml:space="preserve">5 working days (2017-07-03 to 2017-07-07, Monday–Friday).</w:t>
      </w:r>
    </w:p>
    <w:p>
      <w:pPr>
        <w:pStyle w:val="Compact"/>
        <w:numPr>
          <w:ilvl w:val="1"/>
          <w:numId w:val="1005"/>
        </w:numPr>
      </w:pPr>
      <w:r>
        <w:rPr>
          <w:i/>
          <w:iCs/>
        </w:rPr>
        <w:t xml:space="preserve">Volume:</w:t>
      </w:r>
      <w:r>
        <w:t xml:space="preserve"> </w:t>
      </w:r>
      <w:r>
        <w:t xml:space="preserve">2,830,743 flows across 8 files in</w:t>
      </w:r>
      <w:r>
        <w:t xml:space="preserve"> </w:t>
      </w:r>
      <w:r>
        <w:rPr>
          <w:rStyle w:val="VerbatimChar"/>
        </w:rPr>
        <w:t xml:space="preserve">TrafficLabelling/</w:t>
      </w:r>
      <w:r>
        <w:t xml:space="preserve">.</w:t>
      </w:r>
    </w:p>
    <w:p>
      <w:pPr>
        <w:pStyle w:val="Compact"/>
        <w:numPr>
          <w:ilvl w:val="1"/>
          <w:numId w:val="1005"/>
        </w:numPr>
      </w:pPr>
      <w:r>
        <w:rPr>
          <w:i/>
          <w:iCs/>
        </w:rPr>
        <w:t xml:space="preserve">Daily Snapshots:</w:t>
      </w:r>
      <w:r>
        <w:t xml:space="preserve"> </w:t>
      </w:r>
      <w:r>
        <w:t xml:space="preserve">5 daily graphs (</w:t>
      </w:r>
      <m:oMath>
        <m:r>
          <m:t>35</m:t>
        </m:r>
        <m:r>
          <m:rPr>
            <m:sty m:val="p"/>
          </m:rPr>
          <m:t>,</m:t>
        </m:r>
        <m:r>
          <m:t>224</m:t>
        </m:r>
        <m:r>
          <m:rPr>
            <m:sty m:val="p"/>
          </m:rPr>
          <m:t>±</m:t>
        </m:r>
        <m:r>
          <m:t>2</m:t>
        </m:r>
        <m:r>
          <m:rPr>
            <m:sty m:val="p"/>
          </m:rPr>
          <m:t>,</m:t>
        </m:r>
        <m:r>
          <m:t>745</m:t>
        </m:r>
      </m:oMath>
      <w:r>
        <w:t xml:space="preserve"> </w:t>
      </w:r>
      <w:r>
        <w:t xml:space="preserve">edges per snapshot).</w:t>
      </w:r>
    </w:p>
    <w:p>
      <w:pPr>
        <w:pStyle w:val="Compact"/>
        <w:numPr>
          <w:ilvl w:val="1"/>
          <w:numId w:val="1005"/>
        </w:numPr>
      </w:pPr>
      <w:r>
        <w:rPr>
          <w:i/>
          <w:iCs/>
        </w:rPr>
        <w:t xml:space="preserve">Splits:</w:t>
      </w:r>
      <w:r>
        <w:t xml:space="preserve"> </w:t>
      </w:r>
      <w:r>
        <w:t xml:space="preserve">Days 0–2 (Train, Mon–Wed), Day 3 (Validation, Thu), Day 4 (Test, Fri, 1 transition).</w:t>
      </w:r>
    </w:p>
    <w:p>
      <w:pPr>
        <w:pStyle w:val="Compact"/>
        <w:numPr>
          <w:ilvl w:val="1"/>
          <w:numId w:val="1005"/>
        </w:numPr>
      </w:pPr>
      <w:r>
        <w:rPr>
          <w:i/>
          <w:iCs/>
        </w:rPr>
        <w:t xml:space="preserve">Methodological Caveats:</w:t>
      </w:r>
      <w:r>
        <w:t xml:space="preserve"> </w:t>
      </w:r>
      <w:r>
        <w:t xml:space="preserve">Prior audits (Engelen et al., 2021) identified severe flow-construction anomalies, feature-generation artifacts, and label corruption in CIC-IDS2017 flow records. Our link-prediction formulation operates strictly on discrete topological connectivity (source and destination IP endpoints per snapshot window) without conditioning on flow-level semantic attributes or attack labels, mitigating semantic feature contamination; however, this structural formulation does not eliminate underlying network topology artifacts or collection biases inherent in cyber-range testbed traffic.</w:t>
      </w:r>
    </w:p>
    <w:p>
      <w:pPr>
        <w:pStyle w:val="FirstParagraph"/>
      </w:pPr>
      <w:r>
        <w:drawing>
          <wp:inline>
            <wp:extent cx="5334000" cy="2154178"/>
            <wp:effectExtent b="0" l="0" r="0" t="0"/>
            <wp:docPr descr="Figure 2: Dataset Scale and Temporal Coverage Comparison" title="" id="33" name="Picture"/>
            <a:graphic>
              <a:graphicData uri="http://schemas.openxmlformats.org/drawingml/2006/picture">
                <pic:pic>
                  <pic:nvPicPr>
                    <pic:cNvPr descr="../figures/fig02_dataset_scale_comparison.png" id="34" name="Picture"/>
                    <pic:cNvPicPr>
                      <a:picLocks noChangeArrowheads="1" noChangeAspect="1"/>
                    </pic:cNvPicPr>
                  </pic:nvPicPr>
                  <pic:blipFill>
                    <a:blip r:embed="rId32"/>
                    <a:stretch>
                      <a:fillRect/>
                    </a:stretch>
                  </pic:blipFill>
                  <pic:spPr bwMode="auto">
                    <a:xfrm>
                      <a:off x="0" y="0"/>
                      <a:ext cx="5334000" cy="2154178"/>
                    </a:xfrm>
                    <a:prstGeom prst="rect">
                      <a:avLst/>
                    </a:prstGeom>
                    <a:noFill/>
                    <a:ln w="9525">
                      <a:noFill/>
                      <a:headEnd/>
                      <a:tailEnd/>
                    </a:ln>
                  </pic:spPr>
                </pic:pic>
              </a:graphicData>
            </a:graphic>
          </wp:inline>
        </w:drawing>
      </w:r>
      <w:r>
        <w:br/>
      </w:r>
      <w:r>
        <w:rPr>
          <w:i/>
          <w:iCs/>
        </w:rPr>
        <w:t xml:space="preserve">Figure 2: Comparative profiling of evaluated network security telemetry streams: APEX-IDS2026 (44-day enterprise stream) and CIC-IDS2017 (5-day cyber-range testbed). (A) Total flow volume, unique daily directed edges, and active node counts on logarithmic scale. (B) Chronological capture duration (days) and count of evaluated 24h daily snapshots.</w:t>
      </w:r>
    </w:p>
    <w:bookmarkEnd w:id="35"/>
    <w:bookmarkStart w:id="39" w:name="Xb32d8c83902b217254e22536f8293b1d71a85eb"/>
    <w:p>
      <w:pPr>
        <w:pStyle w:val="Heading3"/>
      </w:pPr>
      <w:r>
        <w:t xml:space="preserve">4.2 Chronological Partitioning &amp; Snapshot Granularities</w:t>
      </w:r>
    </w:p>
    <w:p>
      <w:pPr>
        <w:pStyle w:val="FirstParagraph"/>
      </w:pPr>
      <w:r>
        <w:t xml:space="preserve">To investigate temporal window effects, graphs are constructed at:</w:t>
      </w:r>
      <w:r>
        <w:t xml:space="preserve"> </w:t>
      </w:r>
      <w:r>
        <w:t xml:space="preserve">* APEX-IDS2026:</w:t>
      </w:r>
      <w:r>
        <w:t xml:space="preserve"> </w:t>
      </w:r>
      <w:r>
        <w:rPr>
          <w:b/>
          <w:bCs/>
        </w:rPr>
        <w:t xml:space="preserve">24-hour</w:t>
      </w:r>
      <w:r>
        <w:t xml:space="preserve"> </w:t>
      </w:r>
      <w:r>
        <w:t xml:space="preserve">(44 snapshots, 43 transitions),</w:t>
      </w:r>
      <w:r>
        <w:t xml:space="preserve"> </w:t>
      </w:r>
      <w:r>
        <w:rPr>
          <w:b/>
          <w:bCs/>
        </w:rPr>
        <w:t xml:space="preserve">12-hour</w:t>
      </w:r>
      <w:r>
        <w:t xml:space="preserve"> </w:t>
      </w:r>
      <w:r>
        <w:t xml:space="preserve">(86 snapshots, 85 transitions), and</w:t>
      </w:r>
      <w:r>
        <w:t xml:space="preserve"> </w:t>
      </w:r>
      <w:r>
        <w:rPr>
          <w:b/>
          <w:bCs/>
        </w:rPr>
        <w:t xml:space="preserve">6-hour</w:t>
      </w:r>
      <w:r>
        <w:t xml:space="preserve"> </w:t>
      </w:r>
      <w:r>
        <w:t xml:space="preserve">(170 snapshots, 169 transitions).</w:t>
      </w:r>
      <w:r>
        <w:t xml:space="preserve"> </w:t>
      </w:r>
      <w:r>
        <w:t xml:space="preserve">* CIC-IDS2017:</w:t>
      </w:r>
      <w:r>
        <w:t xml:space="preserve"> </w:t>
      </w:r>
      <w:r>
        <w:rPr>
          <w:b/>
          <w:bCs/>
        </w:rPr>
        <w:t xml:space="preserve">24-hour</w:t>
      </w:r>
      <w:r>
        <w:t xml:space="preserve"> </w:t>
      </w:r>
      <w:r>
        <w:t xml:space="preserve">(5 snapshots, 4 transitions),</w:t>
      </w:r>
      <w:r>
        <w:t xml:space="preserve"> </w:t>
      </w:r>
      <w:r>
        <w:rPr>
          <w:b/>
          <w:bCs/>
        </w:rPr>
        <w:t xml:space="preserve">6-hour</w:t>
      </w:r>
      <w:r>
        <w:t xml:space="preserve"> </w:t>
      </w:r>
      <w:r>
        <w:t xml:space="preserve">(15 snapshots, 14 transitions), and</w:t>
      </w:r>
      <w:r>
        <w:t xml:space="preserve"> </w:t>
      </w:r>
      <w:r>
        <w:rPr>
          <w:b/>
          <w:bCs/>
        </w:rPr>
        <w:t xml:space="preserve">1-hour</w:t>
      </w:r>
      <w:r>
        <w:t xml:space="preserve"> </w:t>
      </w:r>
      <w:r>
        <w:t xml:space="preserve">(50 snapshots, 49 transitions).</w:t>
      </w:r>
    </w:p>
    <w:p>
      <w:pPr>
        <w:pStyle w:val="BodyText"/>
      </w:pPr>
      <w:r>
        <w:t xml:space="preserve">All transition statistics are aggregated across all consecutive window pairs (</w:t>
      </w:r>
      <m:oMath>
        <m:r>
          <m:t>N</m:t>
        </m:r>
        <m:r>
          <m:rPr>
            <m:sty m:val="p"/>
          </m:rPr>
          <m:t>=</m:t>
        </m:r>
        <m:r>
          <m:t>T</m:t>
        </m:r>
        <m:r>
          <m:rPr>
            <m:sty m:val="p"/>
          </m:rPr>
          <m:t>−</m:t>
        </m:r>
        <m:r>
          <m:t>1</m:t>
        </m:r>
      </m:oMath>
      <w:r>
        <w:t xml:space="preserve">) using the unbiased sample standard deviation (</w:t>
      </w:r>
      <m:oMath>
        <m:r>
          <m:t>d</m:t>
        </m:r>
        <m:r>
          <m:t>d</m:t>
        </m:r>
        <m:r>
          <m:t>o</m:t>
        </m:r>
        <m:r>
          <m:t>f</m:t>
        </m:r>
        <m:r>
          <m:rPr>
            <m:sty m:val="p"/>
          </m:rPr>
          <m:t>=</m:t>
        </m:r>
        <m:r>
          <m:t>1</m:t>
        </m:r>
      </m:oMath>
      <w:r>
        <w:t xml:space="preserve">). For sub-daily CIC-IDS2017 partitions, the timeline spans the full continuous capture period, including non-operational overnight hiatuses between daily simulations.</w:t>
      </w:r>
    </w:p>
    <w:p>
      <w:pPr>
        <w:pStyle w:val="BodyText"/>
      </w:pPr>
      <w:r>
        <w:drawing>
          <wp:inline>
            <wp:extent cx="5334000" cy="3131216"/>
            <wp:effectExtent b="0" l="0" r="0" t="0"/>
            <wp:docPr descr="Figure 3: Chronological Node and Edge Trajectories across Daily Snapshots" title="" id="37" name="Picture"/>
            <a:graphic>
              <a:graphicData uri="http://schemas.openxmlformats.org/drawingml/2006/picture">
                <pic:pic>
                  <pic:nvPicPr>
                    <pic:cNvPr descr="../figures/fig03_chronological_topology_trajectories.png" id="38" name="Picture"/>
                    <pic:cNvPicPr>
                      <a:picLocks noChangeArrowheads="1" noChangeAspect="1"/>
                    </pic:cNvPicPr>
                  </pic:nvPicPr>
                  <pic:blipFill>
                    <a:blip r:embed="rId36"/>
                    <a:stretch>
                      <a:fillRect/>
                    </a:stretch>
                  </pic:blipFill>
                  <pic:spPr bwMode="auto">
                    <a:xfrm>
                      <a:off x="0" y="0"/>
                      <a:ext cx="5334000" cy="3131216"/>
                    </a:xfrm>
                    <a:prstGeom prst="rect">
                      <a:avLst/>
                    </a:prstGeom>
                    <a:noFill/>
                    <a:ln w="9525">
                      <a:noFill/>
                      <a:headEnd/>
                      <a:tailEnd/>
                    </a:ln>
                  </pic:spPr>
                </pic:pic>
              </a:graphicData>
            </a:graphic>
          </wp:inline>
        </w:drawing>
      </w:r>
      <w:r>
        <w:br/>
      </w:r>
      <w:r>
        <w:rPr>
          <w:i/>
          <w:iCs/>
        </w:rPr>
        <w:t xml:space="preserve">Figure 3: Chronological topology trajectories showing active nodes and unique directed edges across daily snapshots. (A) APEX-IDS2026 across 44 continuous days, partitioned into Train (Days 0–24, gray), Validation (Days 25–31, blue), and Test (Days 32–43, red), with truncated boundary windows (Day 0 and Day 43) annotated. (B) CIC-IDS2017 across 5 weekdays, displaying the single chronological daily test transition (Day 3 to Day 4).</w:t>
      </w:r>
    </w:p>
    <w:bookmarkEnd w:id="39"/>
    <w:bookmarkStart w:id="40" w:name="X083f3bab8141c14ce3e8dcd5378202aafcad377"/>
    <w:p>
      <w:pPr>
        <w:pStyle w:val="Heading3"/>
      </w:pPr>
      <w:r>
        <w:t xml:space="preserve">4.3 Evaluation Protocol, Candidate Pools, and Metric Formulations</w:t>
      </w:r>
    </w:p>
    <w:p>
      <w:pPr>
        <w:pStyle w:val="FirstParagraph"/>
      </w:pPr>
      <w:r>
        <w:t xml:space="preserve">Link prediction classification performance is measured via Precision, Recall, and F1 at decision threshold</w:t>
      </w:r>
      <w:r>
        <w:t xml:space="preserve"> </w:t>
      </w:r>
      <m:oMath>
        <m:r>
          <m:t>τ</m:t>
        </m:r>
        <m:r>
          <m:rPr>
            <m:sty m:val="p"/>
          </m:rPr>
          <m:t>=</m:t>
        </m:r>
        <m:r>
          <m:t>0.5</m:t>
        </m:r>
      </m:oMath>
      <w:r>
        <w:t xml:space="preserve"> </w:t>
      </w:r>
      <w:r>
        <w:t xml:space="preserve">(or</w:t>
      </w:r>
      <w:r>
        <w:t xml:space="preserve"> </w:t>
      </w:r>
      <m:oMath>
        <m:r>
          <m:t>τ</m:t>
        </m:r>
        <m:r>
          <m:rPr>
            <m:sty m:val="p"/>
          </m:rPr>
          <m:t>=</m:t>
        </m:r>
        <m:r>
          <m:t>1.0</m:t>
        </m:r>
      </m:oMath>
      <w:r>
        <w:t xml:space="preserve"> </w:t>
      </w:r>
      <w:r>
        <w:t xml:space="preserve">for integer counts). For continuous scoring models, we report both ROC-AUC and Average Precision (PR-AUC) using</w:t>
      </w:r>
      <w:r>
        <w:t xml:space="preserve"> </w:t>
      </w:r>
      <w:r>
        <w:rPr>
          <w:rStyle w:val="VerbatimChar"/>
        </w:rPr>
        <w:t xml:space="preserve">sklearn.metrics</w:t>
      </w:r>
      <w:r>
        <w:t xml:space="preserve">. Discrete binary step predictors (Persistence, EdgeBank-binary, EdgeBank-tw) are designated</w:t>
      </w:r>
      <w:r>
        <w:t xml:space="preserve"> </w:t>
      </w:r>
      <w:r>
        <w:rPr>
          <w:rStyle w:val="VerbatimChar"/>
        </w:rPr>
        <w:t xml:space="preserve">N/A (Discrete)</w:t>
      </w:r>
      <w:r>
        <w:t xml:space="preserve"> </w:t>
      </w:r>
      <w:r>
        <w:t xml:space="preserve">for area metrics to avoid degenerate step-function distortions.</w:t>
      </w:r>
    </w:p>
    <w:p>
      <w:pPr>
        <w:pStyle w:val="BodyText"/>
      </w:pPr>
      <w:r>
        <w:rPr>
          <w:b/>
          <w:bCs/>
        </w:rPr>
        <w:t xml:space="preserve">Capped Benchmark vs. Uncapped Continuous Test Partition:</w:t>
      </w:r>
      <w:r>
        <w:t xml:space="preserve"> </w:t>
      </w:r>
      <w:r>
        <w:t xml:space="preserve">Our investigation conducts two complementary evaluations grounded in distinct candidate pools:</w:t>
      </w:r>
      <w:r>
        <w:t xml:space="preserve"> </w:t>
      </w:r>
      <w:r>
        <w:t xml:space="preserve">1.</w:t>
      </w:r>
      <w:r>
        <w:t xml:space="preserve"> </w:t>
      </w:r>
      <w:r>
        <w:rPr>
          <w:i/>
          <w:iCs/>
        </w:rPr>
        <w:t xml:space="preserve">Controlled Five-Seed Benchmark (Tables 2 &amp; 3, Figures 6–8):</w:t>
      </w:r>
      <w:r>
        <w:t xml:space="preserve"> </w:t>
      </w:r>
      <w:r>
        <w:t xml:space="preserve">To tractably evaluate computationally demanding topological heuristics (Common Neighbors, Adamic-Adar, Jaccard) alongside neural models across multiple seeds, candidate sets are capped at</w:t>
      </w:r>
      <w:r>
        <w:t xml:space="preserve"> </w:t>
      </w:r>
      <m:oMath>
        <m:r>
          <m:t>K</m:t>
        </m:r>
        <m:r>
          <m:rPr>
            <m:sty m:val="p"/>
          </m:rPr>
          <m:t>=</m:t>
        </m:r>
        <m:r>
          <m:t>2</m:t>
        </m:r>
        <m:r>
          <m:rPr>
            <m:sty m:val="p"/>
          </m:rPr>
          <m:t>,</m:t>
        </m:r>
        <m:r>
          <m:t>000</m:t>
        </m:r>
      </m:oMath>
      <w:r>
        <w:t xml:space="preserve"> </w:t>
      </w:r>
      <w:r>
        <w:t xml:space="preserve">positive candidate edges per transition, balanced 1:1 with</w:t>
      </w:r>
      <w:r>
        <w:t xml:space="preserve"> </w:t>
      </w:r>
      <m:oMath>
        <m:r>
          <m:t>K</m:t>
        </m:r>
        <m:r>
          <m:rPr>
            <m:sty m:val="p"/>
          </m:rPr>
          <m:t>=</m:t>
        </m:r>
        <m:r>
          <m:t>2</m:t>
        </m:r>
        <m:r>
          <m:rPr>
            <m:sty m:val="p"/>
          </m:rPr>
          <m:t>,</m:t>
        </m:r>
        <m:r>
          <m:t>000</m:t>
        </m:r>
      </m:oMath>
      <w:r>
        <w:t xml:space="preserve"> </w:t>
      </w:r>
      <w:r>
        <w:t xml:space="preserve">negative candidates (</w:t>
      </w:r>
      <m:oMath>
        <m:r>
          <m:t>N</m:t>
        </m:r>
        <m:r>
          <m:rPr>
            <m:sty m:val="p"/>
          </m:rPr>
          <m:t>=</m:t>
        </m:r>
        <m:r>
          <m:t>48</m:t>
        </m:r>
        <m:r>
          <m:rPr>
            <m:sty m:val="p"/>
          </m:rPr>
          <m:t>,</m:t>
        </m:r>
        <m:r>
          <m:t>000</m:t>
        </m:r>
      </m:oMath>
      <w:r>
        <w:t xml:space="preserve"> </w:t>
      </w:r>
      <w:r>
        <w:t xml:space="preserve">total candidate pairs across 12 test transitions on APEX-IDS2026;</w:t>
      </w:r>
      <w:r>
        <w:t xml:space="preserve"> </w:t>
      </w:r>
      <m:oMath>
        <m:r>
          <m:t>N</m:t>
        </m:r>
        <m:r>
          <m:rPr>
            <m:sty m:val="p"/>
          </m:rPr>
          <m:t>=</m:t>
        </m:r>
        <m:r>
          <m:t>4</m:t>
        </m:r>
        <m:r>
          <m:rPr>
            <m:sty m:val="p"/>
          </m:rPr>
          <m:t>,</m:t>
        </m:r>
        <m:r>
          <m:t>000</m:t>
        </m:r>
      </m:oMath>
      <w:r>
        <w:t xml:space="preserve"> </w:t>
      </w:r>
      <w:r>
        <w:t xml:space="preserve">total candidate pairs on CIC-IDS2017 Day 4). This controlled candidate universe isolates the differential impact of Setting A (Hard Historical Negatives) versus Setting B (Mixed Random Negatives) under identical test sizes.</w:t>
      </w:r>
      <w:r>
        <w:t xml:space="preserve"> </w:t>
      </w:r>
      <w:r>
        <w:t xml:space="preserve">2.</w:t>
      </w:r>
      <w:r>
        <w:t xml:space="preserve"> </w:t>
      </w:r>
      <w:r>
        <w:rPr>
          <w:i/>
          <w:iCs/>
        </w:rPr>
        <w:t xml:space="preserve">Uncapped Full-Pool Continuous Evaluation (Figures 12 &amp; 13):</w:t>
      </w:r>
      <w:r>
        <w:t xml:space="preserve"> </w:t>
      </w:r>
      <w:r>
        <w:t xml:space="preserve">To assess continuous discriminative capacity, ROC-AUC, and Average Precision at full enterprise scale without candidate subsampling, the test partition of APEX-IDS2026 is evaluated across all</w:t>
      </w:r>
      <w:r>
        <w:t xml:space="preserve"> </w:t>
      </w:r>
      <m:oMath>
        <m:r>
          <m:t>1</m:t>
        </m:r>
        <m:r>
          <m:rPr>
            <m:sty m:val="p"/>
          </m:rPr>
          <m:t>,</m:t>
        </m:r>
        <m:r>
          <m:t>628</m:t>
        </m:r>
        <m:r>
          <m:rPr>
            <m:sty m:val="p"/>
          </m:rPr>
          <m:t>,</m:t>
        </m:r>
        <m:r>
          <m:t>259</m:t>
        </m:r>
      </m:oMath>
      <w:r>
        <w:t xml:space="preserve"> </w:t>
      </w:r>
      <w:r>
        <w:t xml:space="preserve">positive edges where both endpoints were observed active in</w:t>
      </w:r>
      <w:r>
        <w:t xml:space="preserve"> </w:t>
      </w:r>
      <m:oMath>
        <m:sSub>
          <m:e>
            <m:r>
              <m:t>G</m:t>
            </m:r>
          </m:e>
          <m:sub>
            <m:r>
              <m:t>t</m:t>
            </m:r>
          </m:sub>
        </m:sSub>
      </m:oMath>
      <w:r>
        <w:t xml:space="preserve">, balanced 1:1 with</w:t>
      </w:r>
      <w:r>
        <w:t xml:space="preserve"> </w:t>
      </w:r>
      <m:oMath>
        <m:r>
          <m:t>1</m:t>
        </m:r>
        <m:r>
          <m:rPr>
            <m:sty m:val="p"/>
          </m:rPr>
          <m:t>,</m:t>
        </m:r>
        <m:r>
          <m:t>628</m:t>
        </m:r>
        <m:r>
          <m:rPr>
            <m:sty m:val="p"/>
          </m:rPr>
          <m:t>,</m:t>
        </m:r>
        <m:r>
          <m:t>259</m:t>
        </m:r>
      </m:oMath>
      <w:r>
        <w:t xml:space="preserve"> </w:t>
      </w:r>
      <w:r>
        <w:t xml:space="preserve">uniform random non-edges from</w:t>
      </w:r>
      <w:r>
        <w:t xml:space="preserve"> </w:t>
      </w:r>
      <m:oMath>
        <m:sSub>
          <m:e>
            <m:r>
              <m:t>V</m:t>
            </m:r>
          </m:e>
          <m:sub>
            <m:r>
              <m:t>t</m:t>
            </m:r>
          </m:sub>
        </m:sSub>
        <m:r>
          <m:rPr>
            <m:sty m:val="p"/>
          </m:rPr>
          <m:t>×</m:t>
        </m:r>
        <m:sSub>
          <m:e>
            <m:r>
              <m:t>V</m:t>
            </m:r>
          </m:e>
          <m:sub>
            <m:r>
              <m:t>t</m:t>
            </m:r>
          </m:sub>
        </m:sSub>
        <m:r>
          <m:rPr>
            <m:sty m:val="p"/>
          </m:rPr>
          <m:t>\</m:t>
        </m:r>
        <m:sSub>
          <m:e>
            <m:r>
              <m:t>E</m:t>
            </m:r>
          </m:e>
          <m:sub>
            <m:r>
              <m:t>t</m:t>
            </m:r>
            <m:r>
              <m:rPr>
                <m:sty m:val="p"/>
              </m:rPr>
              <m:t>+</m:t>
            </m:r>
            <m:r>
              <m:t>1</m:t>
            </m:r>
          </m:sub>
        </m:sSub>
      </m:oMath>
      <w:r>
        <w:t xml:space="preserve"> </w:t>
      </w:r>
      <w:r>
        <w:t xml:space="preserve">(</w:t>
      </w:r>
      <m:oMath>
        <m:r>
          <m:t>N</m:t>
        </m:r>
        <m:r>
          <m:rPr>
            <m:sty m:val="p"/>
          </m:rPr>
          <m:t>=</m:t>
        </m:r>
        <m:r>
          <m:t>3</m:t>
        </m:r>
        <m:r>
          <m:rPr>
            <m:sty m:val="p"/>
          </m:rPr>
          <m:t>,</m:t>
        </m:r>
        <m:r>
          <m:t>256</m:t>
        </m:r>
        <m:r>
          <m:rPr>
            <m:sty m:val="p"/>
          </m:rPr>
          <m:t>,</m:t>
        </m:r>
        <m:r>
          <m:t>518</m:t>
        </m:r>
      </m:oMath>
      <w:r>
        <w:t xml:space="preserve"> </w:t>
      </w:r>
      <w:r>
        <w:t xml:space="preserve">candidate pairs per seed; evaluated across Seeds 42, 100, and 1234). Both evaluations are genuine empirical artifacts from repository scripts (</w:t>
      </w:r>
      <w:r>
        <w:rPr>
          <w:rStyle w:val="VerbatimChar"/>
        </w:rPr>
        <w:t xml:space="preserve">scripts/run_five_seed_benchmark.py</w:t>
      </w:r>
      <w:r>
        <w:t xml:space="preserve"> </w:t>
      </w:r>
      <w:r>
        <w:t xml:space="preserve">and</w:t>
      </w:r>
      <w:r>
        <w:t xml:space="preserve"> </w:t>
      </w:r>
      <w:r>
        <w:rPr>
          <w:rStyle w:val="VerbatimChar"/>
        </w:rPr>
        <w:t xml:space="preserve">scripts/run_evolvegcn_apex.py</w:t>
      </w:r>
      <w:r>
        <w:t xml:space="preserve">); their metric differences reflect the shift from a capped candidate sample (containing dormant endpoints) to an uncapped test partition over all active-node edges.</w:t>
      </w:r>
    </w:p>
    <w:p>
      <w:pPr>
        <w:pStyle w:val="BodyText"/>
      </w:pPr>
      <w:r>
        <w:rPr>
          <w:b/>
          <w:bCs/>
        </w:rPr>
        <w:t xml:space="preserve">Status of Ranking Metrics (MRR and Hits@K):</w:t>
      </w:r>
      <w:r>
        <w:t xml:space="preserve"> </w:t>
      </w:r>
      <w:r>
        <w:t xml:space="preserve">We explicitly clarify why Mean Reciprocal Rank (MRR) and Hits@K (</w:t>
      </w:r>
      <m:oMath>
        <m:r>
          <m:t>K</m:t>
        </m:r>
        <m:r>
          <m:rPr>
            <m:sty m:val="p"/>
          </m:rPr>
          <m:t>∈</m:t>
        </m:r>
        <m:r>
          <m:rPr>
            <m:sty m:val="p"/>
          </m:rPr>
          <m:t>{</m:t>
        </m:r>
        <m:r>
          <m:t>10</m:t>
        </m:r>
        <m:r>
          <m:rPr>
            <m:sty m:val="p"/>
          </m:rPr>
          <m:t>,</m:t>
        </m:r>
        <m:r>
          <m:t>50</m:t>
        </m:r>
        <m:r>
          <m:rPr>
            <m:sty m:val="p"/>
          </m:rPr>
          <m:t>,</m:t>
        </m:r>
        <m:r>
          <m:t>100</m:t>
        </m:r>
        <m:r>
          <m:rPr>
            <m:sty m:val="p"/>
          </m:rPr>
          <m:t>}</m:t>
        </m:r>
      </m:oMath>
      <w:r>
        <w:t xml:space="preserve">) are omitted from the primary benchmark. For discrete binary step predictors (Persistence, EdgeBank-binary, EdgeBank-tw), model predictions take values strictly in</w:t>
      </w:r>
      <w:r>
        <w:t xml:space="preserve"> </w:t>
      </w:r>
      <m:oMath>
        <m:r>
          <m:rPr>
            <m:sty m:val="p"/>
          </m:rPr>
          <m:t>{</m:t>
        </m:r>
        <m:r>
          <m:t>0</m:t>
        </m:r>
        <m:r>
          <m:rPr>
            <m:sty m:val="p"/>
          </m:rPr>
          <m:t>,</m:t>
        </m:r>
        <m:r>
          <m:t>1</m:t>
        </m:r>
        <m:r>
          <m:rPr>
            <m:sty m:val="p"/>
          </m:rPr>
          <m:t>}</m:t>
        </m:r>
      </m:oMath>
      <w:r>
        <w:t xml:space="preserve">; assigning ranks to thousands of tied binary predictions requires arbitrary tie-breaking order, rendering MRR and Hits@K mathematically ill-defined for step heuristics. Furthermore, on balanced candidate pools with 2,000 positive edges per transition, Hits@10 is mathematically bounded by</w:t>
      </w:r>
      <w:r>
        <w:t xml:space="preserve"> </w:t>
      </w:r>
      <m:oMath>
        <m:r>
          <m:t>10</m:t>
        </m:r>
        <m:r>
          <m:rPr>
            <m:sty m:val="p"/>
          </m:rPr>
          <m:t>/</m:t>
        </m:r>
        <m:r>
          <m:t>2000</m:t>
        </m:r>
        <m:r>
          <m:rPr>
            <m:sty m:val="p"/>
          </m:rPr>
          <m:t>=</m:t>
        </m:r>
        <m:r>
          <m:t>0.005</m:t>
        </m:r>
      </m:oMath>
      <w:r>
        <w:t xml:space="preserve"> </w:t>
      </w:r>
      <w:r>
        <w:t xml:space="preserve">(0.5%), meaning that even a perfect model cannot achieve Hits@10</w:t>
      </w:r>
      <w:r>
        <w:t xml:space="preserve"> </w:t>
      </w:r>
      <m:oMath>
        <m:r>
          <m:rPr>
            <m:sty m:val="p"/>
          </m:rPr>
          <m:t>&gt;</m:t>
        </m:r>
        <m:r>
          <m:t>0.005</m:t>
        </m:r>
      </m:oMath>
      <w:r>
        <w:t xml:space="preserve">. Therefore, threshold-free Receiver Operating Characteristic (ROC-AUC) and Average Precision (PR-AUC) represent the scientifically valid continuous ranking metrics.</w:t>
      </w:r>
    </w:p>
    <w:p>
      <w:pPr>
        <w:pStyle w:val="BodyText"/>
      </w:pPr>
      <w:r>
        <w:rPr>
          <w:b/>
          <w:bCs/>
        </w:rPr>
        <w:t xml:space="preserve">Scope of Evaluated Architectures:</w:t>
      </w:r>
      <w:r>
        <w:t xml:space="preserve"> </w:t>
      </w:r>
      <w:r>
        <w:t xml:space="preserve">We benchmark an adapted EvolveGCN-H architecture (vectorized GRU parameter evolution with global graph summary pooling) against discrete memory and topological baselines. Continuous-time dynamic models (TGN; Rossi et al., 2020) and dynamic self-attention networks (DySAT; Sankar et al., 2020) were omitted because they require microsecond-level continuous event queues or fine-grained temporal self-attention over node histories. In network telemetry, aggregation into discrete chronological snapshots (24h, 12h, 6h, 1h) is necessary to scale to tens of millions of network flows across enterprise networks with</w:t>
      </w:r>
      <w:r>
        <w:t xml:space="preserve"> </w:t>
      </w:r>
      <m:oMath>
        <m:r>
          <m:rPr>
            <m:sty m:val="p"/>
          </m:rPr>
          <m:t>&gt;</m:t>
        </m:r>
        <m:r>
          <m:t>400</m:t>
        </m:r>
        <m:r>
          <m:rPr>
            <m:sty m:val="p"/>
          </m:rPr>
          <m:t>,</m:t>
        </m:r>
        <m:r>
          <m:t>000</m:t>
        </m:r>
      </m:oMath>
      <w:r>
        <w:t xml:space="preserve"> </w:t>
      </w:r>
      <w:r>
        <w:t xml:space="preserve">IP addresses. We retain this focused empirical scope and state this omission clearly as an architectural boundary.</w:t>
      </w:r>
    </w:p>
    <w:p>
      <w:pPr>
        <w:pStyle w:val="BodyText"/>
      </w:pPr>
      <w:r>
        <w:t xml:space="preserve">Importantly, balanced 1:1 evaluation candidate sets isolate relative ranking and discriminative capacity under controlled conditions. In operational intrusion detection, active communication links represent an infinitesimal fraction of all possible endpoint pairs (</w:t>
      </w:r>
      <m:oMath>
        <m:r>
          <m:rPr>
            <m:sty m:val="p"/>
          </m:rPr>
          <m:t>&lt;</m:t>
        </m:r>
        <m:sSup>
          <m:e>
            <m:r>
              <m:t>10</m:t>
            </m:r>
          </m:e>
          <m:sup>
            <m:r>
              <m:rPr>
                <m:sty m:val="p"/>
              </m:rPr>
              <m:t>−</m:t>
            </m:r>
            <m:r>
              <m:t>5</m:t>
            </m:r>
          </m:sup>
        </m:sSup>
      </m:oMath>
      <w:r>
        <w:t xml:space="preserve">); consequently, ROC-AUC, Average Precision, and precision metrics reported on balanced candidate sets do not directly indicate operational detection precision or alert volumes under extreme production class imbalance.</w:t>
      </w:r>
    </w:p>
    <w:p>
      <w:r>
        <w:pict>
          <v:rect style="width:0;height:1.5pt" o:hralign="center" o:hrstd="t" o:hr="t"/>
        </w:pict>
      </w:r>
    </w:p>
    <w:bookmarkEnd w:id="40"/>
    <w:bookmarkEnd w:id="41"/>
    <w:bookmarkStart w:id="62" w:name="results"/>
    <w:p>
      <w:pPr>
        <w:pStyle w:val="Heading2"/>
      </w:pPr>
      <w:r>
        <w:t xml:space="preserve">5. Results</w:t>
      </w:r>
    </w:p>
    <w:bookmarkStart w:id="48" w:name="multi-scale-graph-dynamics-audit"/>
    <w:p>
      <w:pPr>
        <w:pStyle w:val="Heading3"/>
      </w:pPr>
      <w:r>
        <w:t xml:space="preserve">5.1 Multi-Scale Graph Dynamics Audit</w:t>
      </w:r>
    </w:p>
    <w:p>
      <w:pPr>
        <w:pStyle w:val="FirstParagraph"/>
      </w:pPr>
      <w:r>
        <w:t xml:space="preserve">Table 1 reports the computed multi-scale topological dynamics across all six evaluated configurations.</w:t>
      </w:r>
    </w:p>
    <w:p>
      <w:pPr>
        <w:pStyle w:val="BodyText"/>
      </w:pPr>
      <w:r>
        <w:rPr>
          <w:b/>
          <w:bCs/>
        </w:rPr>
        <w:t xml:space="preserve">Table 1: Multi-scale graph dynamics across APEX-IDS2026 and CIC-IDS2017.</w:t>
      </w:r>
      <w:r>
        <w:br/>
      </w:r>
      <w:r>
        <w:rPr>
          <w:i/>
          <w:iCs/>
        </w:rPr>
        <w:t xml:space="preserve">Transitions denote evaluated pairs between consecutive observed active windows across the capture period (APEX-IDS2026: contiguous 24/7 telemetry; CIC-IDS2017: daytime captures spanning 5 days, containing 10 strictly 6h-adjacent and 4 overnight 12h transitions at the 6h scale; 40 strictly 1h-adjacent, 5 mid-day 3h, and 4 overnight 13h transitions at the 1h scale). Values report sample mean and unbiased sample standard deviation (</w:t>
      </w:r>
      <m:oMath>
        <m:r>
          <m:t>d</m:t>
        </m:r>
        <m:r>
          <m:t>d</m:t>
        </m:r>
        <m:r>
          <m:t>o</m:t>
        </m:r>
        <m:r>
          <m:t>f</m:t>
        </m:r>
        <m:r>
          <m:rPr>
            <m:sty m:val="p"/>
          </m:rPr>
          <m:t>=</m:t>
        </m:r>
        <m:r>
          <m:t>1</m:t>
        </m:r>
      </m:oMath>
      <w:r>
        <w:rPr>
          <w:i/>
          <w:iCs/>
        </w:rPr>
        <w:t xml:space="preserve">). Recurrence</w:t>
      </w:r>
      <w:r>
        <w:rPr>
          <w:i/>
          <w:iCs/>
        </w:rPr>
        <w:t xml:space="preserve"> </w:t>
      </w:r>
      <m:oMath>
        <m:sSub>
          <m:e>
            <m:r>
              <m:t>R</m:t>
            </m:r>
          </m:e>
          <m:sub>
            <m:r>
              <m:t>t</m:t>
            </m:r>
          </m:sub>
        </m:sSub>
      </m:oMath>
      <w:r>
        <w:rPr>
          <w:i/>
          <w:iCs/>
        </w:rPr>
        <w:t xml:space="preserve"> </w:t>
      </w:r>
      <w:r>
        <w:rPr>
          <w:i/>
          <w:iCs/>
        </w:rPr>
        <w:t xml:space="preserve">is directional with respect to target snapshot</w:t>
      </w:r>
      <w:r>
        <w:rPr>
          <w:i/>
          <w:iCs/>
        </w:rPr>
        <w:t xml:space="preserve"> </w:t>
      </w:r>
      <m:oMath>
        <m:sSub>
          <m:e>
            <m:r>
              <m:t>E</m:t>
            </m:r>
          </m:e>
          <m:sub>
            <m:r>
              <m:t>t</m:t>
            </m:r>
          </m:sub>
        </m:sSub>
      </m:oMath>
      <w:r>
        <w:rPr>
          <w:i/>
          <w:iCs/>
        </w:rPr>
        <w:t xml:space="preserve">, while turnover metrics (</w:t>
      </w:r>
      <m:oMath>
        <m:sSub>
          <m:e>
            <m:r>
              <m:t>T</m:t>
            </m:r>
          </m:e>
          <m:sub>
            <m:r>
              <m:rPr>
                <m:nor/>
                <m:sty m:val="p"/>
              </m:rPr>
              <m:t>Jaccard</m:t>
            </m:r>
          </m:sub>
        </m:sSub>
      </m:oMath>
      <w:r>
        <w:rPr>
          <w:i/>
          <w:iCs/>
        </w:rPr>
        <w:t xml:space="preserve"> </w:t>
      </w:r>
      <w:r>
        <w:rPr>
          <w:i/>
          <w:iCs/>
        </w:rPr>
        <w:t xml:space="preserve">and</w:t>
      </w:r>
      <w:r>
        <w:rPr>
          <w:i/>
          <w:iCs/>
        </w:rPr>
        <w:t xml:space="preserve"> </w:t>
      </w:r>
      <m:oMath>
        <m:sSub>
          <m:e>
            <m:r>
              <m:t>T</m:t>
            </m:r>
          </m:e>
          <m:sub>
            <m:r>
              <m:rPr>
                <m:nor/>
                <m:sty m:val="p"/>
              </m:rPr>
              <m:t>Dice</m:t>
            </m:r>
          </m:sub>
        </m:sSub>
      </m:oMath>
      <w:r>
        <w:rPr>
          <w:i/>
          <w:iCs/>
        </w:rPr>
        <w:t xml:space="preserve">) are symmetric set-theoretic distances. High sub-daily standard deviations on CIC-IDS2017 reflect the diurnal contrast between active daytime simulations (</w:t>
      </w:r>
      <m:oMath>
        <m:sSub>
          <m:e>
            <m:r>
              <m:t>R</m:t>
            </m:r>
          </m:e>
          <m:sub>
            <m:r>
              <m:t>t</m:t>
            </m:r>
          </m:sub>
        </m:sSub>
        <m:r>
          <m:rPr>
            <m:sty m:val="p"/>
          </m:rPr>
          <m:t>∈</m:t>
        </m:r>
        <m:r>
          <m:rPr>
            <m:sty m:val="p"/>
          </m:rPr>
          <m:t>[</m:t>
        </m:r>
        <m:r>
          <m:t>25.2</m:t>
        </m:r>
        <m:r>
          <m:rPr>
            <m:sty m:val="p"/>
          </m:rPr>
          <m:t>%</m:t>
        </m:r>
        <m:r>
          <m:rPr>
            <m:sty m:val="p"/>
          </m:rPr>
          <m:t>,</m:t>
        </m:r>
        <m:r>
          <m:t>50.7</m:t>
        </m:r>
        <m:r>
          <m:rPr>
            <m:sty m:val="p"/>
          </m:rPr>
          <m:t>%</m:t>
        </m:r>
        <m:r>
          <m:rPr>
            <m:sty m:val="p"/>
          </m:rPr>
          <m:t>]</m:t>
        </m:r>
      </m:oMath>
      <w:r>
        <w:rPr>
          <w:i/>
          <w:iCs/>
        </w:rPr>
        <w:t xml:space="preserve"> </w:t>
      </w:r>
      <w:r>
        <w:rPr>
          <w:i/>
          <w:iCs/>
        </w:rPr>
        <w:t xml:space="preserve">for 6h intra-day) and overnight collection pauses (</w:t>
      </w:r>
      <m:oMath>
        <m:sSub>
          <m:e>
            <m:r>
              <m:t>R</m:t>
            </m:r>
          </m:e>
          <m:sub>
            <m:r>
              <m:t>t</m:t>
            </m:r>
          </m:sub>
        </m:sSub>
        <m:r>
          <m:rPr>
            <m:sty m:val="p"/>
          </m:rPr>
          <m:t>∈</m:t>
        </m:r>
        <m:r>
          <m:rPr>
            <m:sty m:val="p"/>
          </m:rPr>
          <m:t>[</m:t>
        </m:r>
        <m:r>
          <m:t>3.3</m:t>
        </m:r>
        <m:r>
          <m:rPr>
            <m:sty m:val="p"/>
          </m:rPr>
          <m:t>%</m:t>
        </m:r>
        <m:r>
          <m:rPr>
            <m:sty m:val="p"/>
          </m:rPr>
          <m:t>,</m:t>
        </m:r>
        <m:r>
          <m:t>7.7</m:t>
        </m:r>
        <m:r>
          <m:rPr>
            <m:sty m:val="p"/>
          </m:rPr>
          <m:t>%</m:t>
        </m:r>
        <m:r>
          <m:rPr>
            <m:sty m:val="p"/>
          </m:rPr>
          <m:t>]</m:t>
        </m:r>
      </m:oMath>
      <w:r>
        <w:rPr>
          <w:i/>
          <w:iCs/>
        </w:rPr>
        <w:t xml:space="preserve"> </w:t>
      </w:r>
      <w:r>
        <w:rPr>
          <w:i/>
          <w:iCs/>
        </w:rPr>
        <w:t xml:space="preserve">for 6h overnight).</w:t>
      </w:r>
    </w:p>
    <w:tbl>
      <w:tblPr>
        <w:tblStyle w:val="Table"/>
        <w:tblW w:type="pct" w:w="5000"/>
        <w:tblLayout w:type="fixed"/>
        <w:tblLook w:firstRow="1" w:lastRow="0" w:firstColumn="0" w:lastColumn="0" w:noHBand="0" w:noVBand="0" w:val="0020"/>
      </w:tblPr>
      <w:tblGrid>
        <w:gridCol w:w="720"/>
        <w:gridCol w:w="900"/>
        <w:gridCol w:w="900"/>
        <w:gridCol w:w="900"/>
        <w:gridCol w:w="900"/>
        <w:gridCol w:w="900"/>
        <w:gridCol w:w="900"/>
        <w:gridCol w:w="900"/>
        <w:gridCol w:w="900"/>
      </w:tblGrid>
      <w:tr>
        <w:trPr>
          <w:tblHeader w:val="on"/>
        </w:trPr>
        <w:tc>
          <w:tcPr/>
          <w:p>
            <w:pPr>
              <w:pStyle w:val="Compact"/>
              <w:jc w:val="left"/>
            </w:pPr>
            <w:r>
              <w:t xml:space="preserve">Dataset</w:t>
            </w:r>
          </w:p>
        </w:tc>
        <w:tc>
          <w:tcPr/>
          <w:p>
            <w:pPr>
              <w:pStyle w:val="Compact"/>
              <w:jc w:val="center"/>
            </w:pPr>
            <w:r>
              <w:t xml:space="preserve">Window Scale</w:t>
            </w:r>
          </w:p>
        </w:tc>
        <w:tc>
          <w:tcPr/>
          <w:p>
            <w:pPr>
              <w:pStyle w:val="Compact"/>
              <w:jc w:val="center"/>
            </w:pPr>
            <w:r>
              <w:t xml:space="preserve">Windows</w:t>
            </w:r>
          </w:p>
        </w:tc>
        <w:tc>
          <w:tcPr/>
          <w:p>
            <w:pPr>
              <w:pStyle w:val="Compact"/>
              <w:jc w:val="center"/>
            </w:pPr>
            <w:r>
              <w:t xml:space="preserve">Transitions</w:t>
            </w:r>
          </w:p>
        </w:tc>
        <w:tc>
          <w:tcPr/>
          <w:p>
            <w:pPr>
              <w:pStyle w:val="Compact"/>
              <w:jc w:val="center"/>
            </w:pPr>
            <w:r>
              <w:t xml:space="preserve">Mean Edges / Win</w:t>
            </w:r>
          </w:p>
        </w:tc>
        <w:tc>
          <w:tcPr/>
          <w:p>
            <w:pPr>
              <w:pStyle w:val="Compact"/>
              <w:jc w:val="center"/>
            </w:pPr>
            <w:r>
              <w:t xml:space="preserve">Recurrence (</w:t>
            </w:r>
            <m:oMath>
              <m:sSub>
                <m:e>
                  <m:r>
                    <m:t>R</m:t>
                  </m:r>
                </m:e>
                <m:sub>
                  <m:r>
                    <m:t>t</m:t>
                  </m:r>
                </m:sub>
              </m:sSub>
            </m:oMath>
            <w:r>
              <w:t xml:space="preserve">)</w:t>
            </w:r>
          </w:p>
        </w:tc>
        <w:tc>
          <w:tcPr/>
          <w:p>
            <w:pPr>
              <w:pStyle w:val="Compact"/>
              <w:jc w:val="center"/>
            </w:pPr>
            <w:r>
              <w:t xml:space="preserve">Novelty (</w:t>
            </w:r>
            <m:oMath>
              <m:sSub>
                <m:e>
                  <m:r>
                    <m:t>N</m:t>
                  </m:r>
                </m:e>
                <m:sub>
                  <m:r>
                    <m:t>t</m:t>
                  </m:r>
                </m:sub>
              </m:sSub>
            </m:oMath>
            <w:r>
              <w:t xml:space="preserve">)</w:t>
            </w:r>
          </w:p>
        </w:tc>
        <w:tc>
          <w:tcPr/>
          <w:p>
            <w:pPr>
              <w:pStyle w:val="Compact"/>
              <w:jc w:val="center"/>
            </w:pPr>
            <w:r>
              <w:t xml:space="preserve">Turnover (</w:t>
            </w:r>
            <m:oMath>
              <m:sSub>
                <m:e>
                  <m:r>
                    <m:t>T</m:t>
                  </m:r>
                </m:e>
                <m:sub>
                  <m:r>
                    <m:rPr>
                      <m:nor/>
                      <m:sty m:val="p"/>
                    </m:rPr>
                    <m:t>Jaccard</m:t>
                  </m:r>
                </m:sub>
              </m:sSub>
            </m:oMath>
            <w:r>
              <w:t xml:space="preserve">)</w:t>
            </w:r>
          </w:p>
        </w:tc>
        <w:tc>
          <w:tcPr/>
          <w:p>
            <w:pPr>
              <w:pStyle w:val="Compact"/>
              <w:jc w:val="center"/>
            </w:pPr>
            <w:r>
              <w:t xml:space="preserve">Turnover (</w:t>
            </w:r>
            <m:oMath>
              <m:sSub>
                <m:e>
                  <m:r>
                    <m:t>T</m:t>
                  </m:r>
                </m:e>
                <m:sub>
                  <m:r>
                    <m:rPr>
                      <m:nor/>
                      <m:sty m:val="p"/>
                    </m:rPr>
                    <m:t>Dice</m:t>
                  </m:r>
                </m:sub>
              </m:sSub>
            </m:oMath>
            <w:r>
              <w:t xml:space="preserve">)</w:t>
            </w:r>
          </w:p>
        </w:tc>
      </w:tr>
      <w:tr>
        <w:tc>
          <w:tcPr/>
          <w:p>
            <w:pPr>
              <w:pStyle w:val="Compact"/>
              <w:jc w:val="left"/>
            </w:pPr>
            <w:r>
              <w:rPr>
                <w:b/>
                <w:bCs/>
              </w:rPr>
              <w:t xml:space="preserve">APEX-IDS2026</w:t>
            </w:r>
          </w:p>
        </w:tc>
        <w:tc>
          <w:tcPr/>
          <w:p>
            <w:pPr>
              <w:pStyle w:val="Compact"/>
              <w:jc w:val="center"/>
            </w:pPr>
            <w:r>
              <w:rPr>
                <w:b/>
                <w:bCs/>
              </w:rPr>
              <w:t xml:space="preserve">24h (Daily)</w:t>
            </w:r>
          </w:p>
        </w:tc>
        <w:tc>
          <w:tcPr/>
          <w:p>
            <w:pPr>
              <w:pStyle w:val="Compact"/>
              <w:jc w:val="center"/>
            </w:pPr>
            <w:r>
              <w:t xml:space="preserve">44</w:t>
            </w:r>
          </w:p>
        </w:tc>
        <w:tc>
          <w:tcPr/>
          <w:p>
            <w:pPr>
              <w:pStyle w:val="Compact"/>
              <w:jc w:val="center"/>
            </w:pPr>
            <w:r>
              <w:t xml:space="preserve">43</w:t>
            </w:r>
          </w:p>
        </w:tc>
        <w:tc>
          <w:tcPr/>
          <w:p>
            <w:pPr>
              <w:pStyle w:val="Compact"/>
              <w:jc w:val="center"/>
            </w:pPr>
            <w:r>
              <w:t xml:space="preserve">203,444</w:t>
            </w:r>
          </w:p>
        </w:tc>
        <w:tc>
          <w:tcPr/>
          <w:p>
            <w:pPr>
              <w:pStyle w:val="Compact"/>
              <w:jc w:val="center"/>
            </w:pPr>
            <m:oMath>
              <m:r>
                <m:t>43.75</m:t>
              </m:r>
              <m:r>
                <m:rPr>
                  <m:sty m:val="p"/>
                </m:rPr>
                <m:t>%</m:t>
              </m:r>
              <m:r>
                <m:rPr>
                  <m:sty m:val="p"/>
                </m:rPr>
                <m:t>±</m:t>
              </m:r>
              <m:r>
                <m:t>6.07</m:t>
              </m:r>
              <m:r>
                <m:rPr>
                  <m:sty m:val="p"/>
                </m:rPr>
                <m:t>%</m:t>
              </m:r>
            </m:oMath>
          </w:p>
        </w:tc>
        <w:tc>
          <w:tcPr/>
          <w:p>
            <w:pPr>
              <w:pStyle w:val="Compact"/>
              <w:jc w:val="center"/>
            </w:pPr>
            <m:oMath>
              <m:r>
                <m:t>56.25</m:t>
              </m:r>
              <m:r>
                <m:rPr>
                  <m:sty m:val="p"/>
                </m:rPr>
                <m:t>%</m:t>
              </m:r>
              <m:r>
                <m:rPr>
                  <m:sty m:val="p"/>
                </m:rPr>
                <m:t>±</m:t>
              </m:r>
              <m:r>
                <m:t>6.07</m:t>
              </m:r>
              <m:r>
                <m:rPr>
                  <m:sty m:val="p"/>
                </m:rPr>
                <m:t>%</m:t>
              </m:r>
            </m:oMath>
          </w:p>
        </w:tc>
        <w:tc>
          <w:tcPr/>
          <w:p>
            <w:pPr>
              <w:pStyle w:val="Compact"/>
              <w:jc w:val="center"/>
            </w:pPr>
            <m:oMath>
              <m:r>
                <m:t>72.71</m:t>
              </m:r>
              <m:r>
                <m:rPr>
                  <m:sty m:val="p"/>
                </m:rPr>
                <m:t>%</m:t>
              </m:r>
              <m:r>
                <m:rPr>
                  <m:sty m:val="p"/>
                </m:rPr>
                <m:t>±</m:t>
              </m:r>
              <m:r>
                <m:t>4.15</m:t>
              </m:r>
              <m:r>
                <m:rPr>
                  <m:sty m:val="p"/>
                </m:rPr>
                <m:t>%</m:t>
              </m:r>
            </m:oMath>
          </w:p>
        </w:tc>
        <w:tc>
          <w:tcPr/>
          <w:p>
            <w:pPr>
              <w:pStyle w:val="Compact"/>
              <w:jc w:val="center"/>
            </w:pPr>
            <m:oMath>
              <m:r>
                <m:t>57.31</m:t>
              </m:r>
              <m:r>
                <m:rPr>
                  <m:sty m:val="p"/>
                </m:rPr>
                <m:t>%</m:t>
              </m:r>
              <m:r>
                <m:rPr>
                  <m:sty m:val="p"/>
                </m:rPr>
                <m:t>±</m:t>
              </m:r>
              <m:r>
                <m:t>5.93</m:t>
              </m:r>
              <m:r>
                <m:rPr>
                  <m:sty m:val="p"/>
                </m:rPr>
                <m:t>%</m:t>
              </m:r>
            </m:oMath>
          </w:p>
        </w:tc>
      </w:tr>
      <w:tr>
        <w:tc>
          <w:tcPr/>
          <w:p>
            <w:pPr>
              <w:pStyle w:val="Compact"/>
              <w:jc w:val="left"/>
            </w:pPr>
            <w:r>
              <w:t xml:space="preserve">APEX-IDS2026</w:t>
            </w:r>
          </w:p>
        </w:tc>
        <w:tc>
          <w:tcPr/>
          <w:p>
            <w:pPr>
              <w:pStyle w:val="Compact"/>
              <w:jc w:val="center"/>
            </w:pPr>
            <w:r>
              <w:rPr>
                <w:b/>
                <w:bCs/>
              </w:rPr>
              <w:t xml:space="preserve">12h</w:t>
            </w:r>
          </w:p>
        </w:tc>
        <w:tc>
          <w:tcPr/>
          <w:p>
            <w:pPr>
              <w:pStyle w:val="Compact"/>
              <w:jc w:val="center"/>
            </w:pPr>
            <w:r>
              <w:t xml:space="preserve">86</w:t>
            </w:r>
          </w:p>
        </w:tc>
        <w:tc>
          <w:tcPr/>
          <w:p>
            <w:pPr>
              <w:pStyle w:val="Compact"/>
              <w:jc w:val="center"/>
            </w:pPr>
            <w:r>
              <w:t xml:space="preserve">85</w:t>
            </w:r>
          </w:p>
        </w:tc>
        <w:tc>
          <w:tcPr/>
          <w:p>
            <w:pPr>
              <w:pStyle w:val="Compact"/>
              <w:jc w:val="center"/>
            </w:pPr>
            <w:r>
              <w:t xml:space="preserve">132,166</w:t>
            </w:r>
          </w:p>
        </w:tc>
        <w:tc>
          <w:tcPr/>
          <w:p>
            <w:pPr>
              <w:pStyle w:val="Compact"/>
              <w:jc w:val="center"/>
            </w:pPr>
            <m:oMath>
              <m:r>
                <m:t>42.74</m:t>
              </m:r>
              <m:r>
                <m:rPr>
                  <m:sty m:val="p"/>
                </m:rPr>
                <m:t>%</m:t>
              </m:r>
              <m:r>
                <m:rPr>
                  <m:sty m:val="p"/>
                </m:rPr>
                <m:t>±</m:t>
              </m:r>
              <m:r>
                <m:t>3.86</m:t>
              </m:r>
              <m:r>
                <m:rPr>
                  <m:sty m:val="p"/>
                </m:rPr>
                <m:t>%</m:t>
              </m:r>
            </m:oMath>
          </w:p>
        </w:tc>
        <w:tc>
          <w:tcPr/>
          <w:p>
            <w:pPr>
              <w:pStyle w:val="Compact"/>
              <w:jc w:val="center"/>
            </w:pPr>
            <m:oMath>
              <m:r>
                <m:t>57.26</m:t>
              </m:r>
              <m:r>
                <m:rPr>
                  <m:sty m:val="p"/>
                </m:rPr>
                <m:t>%</m:t>
              </m:r>
              <m:r>
                <m:rPr>
                  <m:sty m:val="p"/>
                </m:rPr>
                <m:t>±</m:t>
              </m:r>
              <m:r>
                <m:t>3.86</m:t>
              </m:r>
              <m:r>
                <m:rPr>
                  <m:sty m:val="p"/>
                </m:rPr>
                <m:t>%</m:t>
              </m:r>
            </m:oMath>
          </w:p>
        </w:tc>
        <w:tc>
          <w:tcPr/>
          <w:p>
            <w:pPr>
              <w:pStyle w:val="Compact"/>
              <w:jc w:val="center"/>
            </w:pPr>
            <m:oMath>
              <m:r>
                <m:t>73.12</m:t>
              </m:r>
              <m:r>
                <m:rPr>
                  <m:sty m:val="p"/>
                </m:rPr>
                <m:t>%</m:t>
              </m:r>
              <m:r>
                <m:rPr>
                  <m:sty m:val="p"/>
                </m:rPr>
                <m:t>±</m:t>
              </m:r>
              <m:r>
                <m:t>2.68</m:t>
              </m:r>
              <m:r>
                <m:rPr>
                  <m:sty m:val="p"/>
                </m:rPr>
                <m:t>%</m:t>
              </m:r>
            </m:oMath>
          </w:p>
        </w:tc>
        <w:tc>
          <w:tcPr/>
          <w:p>
            <w:pPr>
              <w:pStyle w:val="Compact"/>
              <w:jc w:val="center"/>
            </w:pPr>
            <m:oMath>
              <m:r>
                <m:t>57.70</m:t>
              </m:r>
              <m:r>
                <m:rPr>
                  <m:sty m:val="p"/>
                </m:rPr>
                <m:t>%</m:t>
              </m:r>
              <m:r>
                <m:rPr>
                  <m:sty m:val="p"/>
                </m:rPr>
                <m:t>±</m:t>
              </m:r>
              <m:r>
                <m:t>3.70</m:t>
              </m:r>
              <m:r>
                <m:rPr>
                  <m:sty m:val="p"/>
                </m:rPr>
                <m:t>%</m:t>
              </m:r>
            </m:oMath>
          </w:p>
        </w:tc>
      </w:tr>
      <w:tr>
        <w:tc>
          <w:tcPr/>
          <w:p>
            <w:pPr>
              <w:pStyle w:val="Compact"/>
              <w:jc w:val="left"/>
            </w:pPr>
            <w:r>
              <w:t xml:space="preserve">APEX-IDS2026</w:t>
            </w:r>
          </w:p>
        </w:tc>
        <w:tc>
          <w:tcPr/>
          <w:p>
            <w:pPr>
              <w:pStyle w:val="Compact"/>
              <w:jc w:val="center"/>
            </w:pPr>
            <w:r>
              <w:rPr>
                <w:b/>
                <w:bCs/>
              </w:rPr>
              <w:t xml:space="preserve">6h</w:t>
            </w:r>
          </w:p>
        </w:tc>
        <w:tc>
          <w:tcPr/>
          <w:p>
            <w:pPr>
              <w:pStyle w:val="Compact"/>
              <w:jc w:val="center"/>
            </w:pPr>
            <w:r>
              <w:t xml:space="preserve">170</w:t>
            </w:r>
          </w:p>
        </w:tc>
        <w:tc>
          <w:tcPr/>
          <w:p>
            <w:pPr>
              <w:pStyle w:val="Compact"/>
              <w:jc w:val="center"/>
            </w:pPr>
            <w:r>
              <w:t xml:space="preserve">169</w:t>
            </w:r>
          </w:p>
        </w:tc>
        <w:tc>
          <w:tcPr/>
          <w:p>
            <w:pPr>
              <w:pStyle w:val="Compact"/>
              <w:jc w:val="center"/>
            </w:pPr>
            <w:r>
              <w:t xml:space="preserve">83,912</w:t>
            </w:r>
          </w:p>
        </w:tc>
        <w:tc>
          <w:tcPr/>
          <w:p>
            <w:pPr>
              <w:pStyle w:val="Compact"/>
              <w:jc w:val="center"/>
            </w:pPr>
            <m:oMath>
              <m:r>
                <m:t>40.33</m:t>
              </m:r>
              <m:r>
                <m:rPr>
                  <m:sty m:val="p"/>
                </m:rPr>
                <m:t>%</m:t>
              </m:r>
              <m:r>
                <m:rPr>
                  <m:sty m:val="p"/>
                </m:rPr>
                <m:t>±</m:t>
              </m:r>
              <m:r>
                <m:t>3.85</m:t>
              </m:r>
              <m:r>
                <m:rPr>
                  <m:sty m:val="p"/>
                </m:rPr>
                <m:t>%</m:t>
              </m:r>
            </m:oMath>
          </w:p>
        </w:tc>
        <w:tc>
          <w:tcPr/>
          <w:p>
            <w:pPr>
              <w:pStyle w:val="Compact"/>
              <w:jc w:val="center"/>
            </w:pPr>
            <m:oMath>
              <m:r>
                <m:t>59.67</m:t>
              </m:r>
              <m:r>
                <m:rPr>
                  <m:sty m:val="p"/>
                </m:rPr>
                <m:t>%</m:t>
              </m:r>
              <m:r>
                <m:rPr>
                  <m:sty m:val="p"/>
                </m:rPr>
                <m:t>±</m:t>
              </m:r>
              <m:r>
                <m:t>3.85</m:t>
              </m:r>
              <m:r>
                <m:rPr>
                  <m:sty m:val="p"/>
                </m:rPr>
                <m:t>%</m:t>
              </m:r>
            </m:oMath>
          </w:p>
        </w:tc>
        <w:tc>
          <w:tcPr/>
          <w:p>
            <w:pPr>
              <w:pStyle w:val="Compact"/>
              <w:jc w:val="center"/>
            </w:pPr>
            <m:oMath>
              <m:r>
                <m:t>74.86</m:t>
              </m:r>
              <m:r>
                <m:rPr>
                  <m:sty m:val="p"/>
                </m:rPr>
                <m:t>%</m:t>
              </m:r>
              <m:r>
                <m:rPr>
                  <m:sty m:val="p"/>
                </m:rPr>
                <m:t>±</m:t>
              </m:r>
              <m:r>
                <m:t>2.77</m:t>
              </m:r>
              <m:r>
                <m:rPr>
                  <m:sty m:val="p"/>
                </m:rPr>
                <m:t>%</m:t>
              </m:r>
            </m:oMath>
          </w:p>
        </w:tc>
        <w:tc>
          <w:tcPr/>
          <w:p>
            <w:pPr>
              <w:pStyle w:val="Compact"/>
              <w:jc w:val="center"/>
            </w:pPr>
            <m:oMath>
              <m:r>
                <m:t>59.90</m:t>
              </m:r>
              <m:r>
                <m:rPr>
                  <m:sty m:val="p"/>
                </m:rPr>
                <m:t>%</m:t>
              </m:r>
              <m:r>
                <m:rPr>
                  <m:sty m:val="p"/>
                </m:rPr>
                <m:t>±</m:t>
              </m:r>
              <m:r>
                <m:t>3.62</m:t>
              </m:r>
              <m:r>
                <m:rPr>
                  <m:sty m:val="p"/>
                </m:rPr>
                <m:t>%</m:t>
              </m:r>
            </m:oMath>
          </w:p>
        </w:tc>
      </w:tr>
      <w:tr>
        <w:tc>
          <w:tcPr/>
          <w:p>
            <w:pPr>
              <w:pStyle w:val="Compact"/>
              <w:jc w:val="left"/>
            </w:pPr>
            <w:r>
              <w:rPr>
                <w:b/>
                <w:bCs/>
              </w:rPr>
              <w:t xml:space="preserve">CIC-IDS2017</w:t>
            </w:r>
          </w:p>
        </w:tc>
        <w:tc>
          <w:tcPr/>
          <w:p>
            <w:pPr>
              <w:pStyle w:val="Compact"/>
              <w:jc w:val="center"/>
            </w:pPr>
            <w:r>
              <w:rPr>
                <w:b/>
                <w:bCs/>
              </w:rPr>
              <w:t xml:space="preserve">24h (Daily)</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35,224</w:t>
            </w:r>
          </w:p>
        </w:tc>
        <w:tc>
          <w:tcPr/>
          <w:p>
            <w:pPr>
              <w:pStyle w:val="Compact"/>
              <w:jc w:val="center"/>
            </w:pPr>
            <m:oMath>
              <m:r>
                <m:t>31.91</m:t>
              </m:r>
              <m:r>
                <m:rPr>
                  <m:sty m:val="p"/>
                </m:rPr>
                <m:t>%</m:t>
              </m:r>
              <m:r>
                <m:rPr>
                  <m:sty m:val="p"/>
                </m:rPr>
                <m:t>±</m:t>
              </m:r>
              <m:r>
                <m:t>1.48</m:t>
              </m:r>
              <m:r>
                <m:rPr>
                  <m:sty m:val="p"/>
                </m:rPr>
                <m:t>%</m:t>
              </m:r>
            </m:oMath>
          </w:p>
        </w:tc>
        <w:tc>
          <w:tcPr/>
          <w:p>
            <w:pPr>
              <w:pStyle w:val="Compact"/>
              <w:jc w:val="center"/>
            </w:pPr>
            <m:oMath>
              <m:r>
                <m:t>68.09</m:t>
              </m:r>
              <m:r>
                <m:rPr>
                  <m:sty m:val="p"/>
                </m:rPr>
                <m:t>%</m:t>
              </m:r>
              <m:r>
                <m:rPr>
                  <m:sty m:val="p"/>
                </m:rPr>
                <m:t>±</m:t>
              </m:r>
              <m:r>
                <m:t>1.48</m:t>
              </m:r>
              <m:r>
                <m:rPr>
                  <m:sty m:val="p"/>
                </m:rPr>
                <m:t>%</m:t>
              </m:r>
            </m:oMath>
          </w:p>
        </w:tc>
        <w:tc>
          <w:tcPr/>
          <w:p>
            <w:pPr>
              <w:pStyle w:val="Compact"/>
              <w:jc w:val="center"/>
            </w:pPr>
            <m:oMath>
              <m:r>
                <m:t>81.61</m:t>
              </m:r>
              <m:r>
                <m:rPr>
                  <m:sty m:val="p"/>
                </m:rPr>
                <m:t>%</m:t>
              </m:r>
              <m:r>
                <m:rPr>
                  <m:sty m:val="p"/>
                </m:rPr>
                <m:t>±</m:t>
              </m:r>
              <m:r>
                <m:t>0.49</m:t>
              </m:r>
              <m:r>
                <m:rPr>
                  <m:sty m:val="p"/>
                </m:rPr>
                <m:t>%</m:t>
              </m:r>
            </m:oMath>
          </w:p>
        </w:tc>
        <w:tc>
          <w:tcPr/>
          <w:p>
            <w:pPr>
              <w:pStyle w:val="Compact"/>
              <w:jc w:val="center"/>
            </w:pPr>
            <m:oMath>
              <m:r>
                <m:t>68.93</m:t>
              </m:r>
              <m:r>
                <m:rPr>
                  <m:sty m:val="p"/>
                </m:rPr>
                <m:t>%</m:t>
              </m:r>
              <m:r>
                <m:rPr>
                  <m:sty m:val="p"/>
                </m:rPr>
                <m:t>±</m:t>
              </m:r>
              <m:r>
                <m:t>0.71</m:t>
              </m:r>
              <m:r>
                <m:rPr>
                  <m:sty m:val="p"/>
                </m:rPr>
                <m:t>%</m:t>
              </m:r>
            </m:oMath>
          </w:p>
        </w:tc>
      </w:tr>
      <w:tr>
        <w:tc>
          <w:tcPr/>
          <w:p>
            <w:pPr>
              <w:pStyle w:val="Compact"/>
              <w:jc w:val="left"/>
            </w:pPr>
            <w:r>
              <w:t xml:space="preserve">CIC-IDS2017</w:t>
            </w:r>
          </w:p>
        </w:tc>
        <w:tc>
          <w:tcPr/>
          <w:p>
            <w:pPr>
              <w:pStyle w:val="Compact"/>
              <w:jc w:val="center"/>
            </w:pPr>
            <w:r>
              <w:rPr>
                <w:b/>
                <w:bCs/>
              </w:rPr>
              <w:t xml:space="preserve">6h (Sub-Daily)</w:t>
            </w:r>
          </w:p>
        </w:tc>
        <w:tc>
          <w:tcPr/>
          <w:p>
            <w:pPr>
              <w:pStyle w:val="Compact"/>
              <w:jc w:val="center"/>
            </w:pPr>
            <w:r>
              <w:t xml:space="preserve">15</w:t>
            </w:r>
          </w:p>
        </w:tc>
        <w:tc>
          <w:tcPr/>
          <w:p>
            <w:pPr>
              <w:pStyle w:val="Compact"/>
              <w:jc w:val="center"/>
            </w:pPr>
            <w:r>
              <w:t xml:space="preserve">14</w:t>
            </w:r>
          </w:p>
        </w:tc>
        <w:tc>
          <w:tcPr/>
          <w:p>
            <w:pPr>
              <w:pStyle w:val="Compact"/>
              <w:jc w:val="center"/>
            </w:pPr>
            <w:r>
              <w:t xml:space="preserve">14,019</w:t>
            </w:r>
          </w:p>
        </w:tc>
        <w:tc>
          <w:tcPr/>
          <w:p>
            <w:pPr>
              <w:pStyle w:val="Compact"/>
              <w:jc w:val="center"/>
            </w:pPr>
            <m:oMath>
              <m:r>
                <m:t>27.81</m:t>
              </m:r>
              <m:r>
                <m:rPr>
                  <m:sty m:val="p"/>
                </m:rPr>
                <m:t>%</m:t>
              </m:r>
              <m:r>
                <m:rPr>
                  <m:sty m:val="p"/>
                </m:rPr>
                <m:t>±</m:t>
              </m:r>
              <m:r>
                <m:t>16.92</m:t>
              </m:r>
              <m:r>
                <m:rPr>
                  <m:sty m:val="p"/>
                </m:rPr>
                <m:t>%</m:t>
              </m:r>
            </m:oMath>
          </w:p>
        </w:tc>
        <w:tc>
          <w:tcPr/>
          <w:p>
            <w:pPr>
              <w:pStyle w:val="Compact"/>
              <w:jc w:val="center"/>
            </w:pPr>
            <m:oMath>
              <m:r>
                <m:t>72.19</m:t>
              </m:r>
              <m:r>
                <m:rPr>
                  <m:sty m:val="p"/>
                </m:rPr>
                <m:t>%</m:t>
              </m:r>
              <m:r>
                <m:rPr>
                  <m:sty m:val="p"/>
                </m:rPr>
                <m:t>±</m:t>
              </m:r>
              <m:r>
                <m:t>16.92</m:t>
              </m:r>
              <m:r>
                <m:rPr>
                  <m:sty m:val="p"/>
                </m:rPr>
                <m:t>%</m:t>
              </m:r>
            </m:oMath>
          </w:p>
        </w:tc>
        <w:tc>
          <w:tcPr/>
          <w:p>
            <w:pPr>
              <w:pStyle w:val="Compact"/>
              <w:jc w:val="center"/>
            </w:pPr>
            <m:oMath>
              <m:r>
                <m:t>90.84</m:t>
              </m:r>
              <m:r>
                <m:rPr>
                  <m:sty m:val="p"/>
                </m:rPr>
                <m:t>%</m:t>
              </m:r>
              <m:r>
                <m:rPr>
                  <m:sty m:val="p"/>
                </m:rPr>
                <m:t>±</m:t>
              </m:r>
              <m:r>
                <m:t>4.80</m:t>
              </m:r>
              <m:r>
                <m:rPr>
                  <m:sty m:val="p"/>
                </m:rPr>
                <m:t>%</m:t>
              </m:r>
            </m:oMath>
          </w:p>
        </w:tc>
        <w:tc>
          <w:tcPr/>
          <w:p>
            <w:pPr>
              <w:pStyle w:val="Compact"/>
              <w:jc w:val="center"/>
            </w:pPr>
            <m:oMath>
              <m:r>
                <m:t>83.55</m:t>
              </m:r>
              <m:r>
                <m:rPr>
                  <m:sty m:val="p"/>
                </m:rPr>
                <m:t>%</m:t>
              </m:r>
              <m:r>
                <m:rPr>
                  <m:sty m:val="p"/>
                </m:rPr>
                <m:t>±</m:t>
              </m:r>
              <m:r>
                <m:t>8.00</m:t>
              </m:r>
              <m:r>
                <m:rPr>
                  <m:sty m:val="p"/>
                </m:rPr>
                <m:t>%</m:t>
              </m:r>
            </m:oMath>
          </w:p>
        </w:tc>
      </w:tr>
      <w:tr>
        <w:tc>
          <w:tcPr/>
          <w:p>
            <w:pPr>
              <w:pStyle w:val="Compact"/>
              <w:jc w:val="left"/>
            </w:pPr>
            <w:r>
              <w:t xml:space="preserve">CIC-IDS2017</w:t>
            </w:r>
          </w:p>
        </w:tc>
        <w:tc>
          <w:tcPr/>
          <w:p>
            <w:pPr>
              <w:pStyle w:val="Compact"/>
              <w:jc w:val="center"/>
            </w:pPr>
            <w:r>
              <w:rPr>
                <w:b/>
                <w:bCs/>
              </w:rPr>
              <w:t xml:space="preserve">1h (Fine)</w:t>
            </w:r>
          </w:p>
        </w:tc>
        <w:tc>
          <w:tcPr/>
          <w:p>
            <w:pPr>
              <w:pStyle w:val="Compact"/>
              <w:jc w:val="center"/>
            </w:pPr>
            <w:r>
              <w:t xml:space="preserve">50</w:t>
            </w:r>
          </w:p>
        </w:tc>
        <w:tc>
          <w:tcPr/>
          <w:p>
            <w:pPr>
              <w:pStyle w:val="Compact"/>
              <w:jc w:val="center"/>
            </w:pPr>
            <w:r>
              <w:t xml:space="preserve">49</w:t>
            </w:r>
          </w:p>
        </w:tc>
        <w:tc>
          <w:tcPr/>
          <w:p>
            <w:pPr>
              <w:pStyle w:val="Compact"/>
              <w:jc w:val="center"/>
            </w:pPr>
            <w:r>
              <w:t xml:space="preserve">5,133</w:t>
            </w:r>
          </w:p>
        </w:tc>
        <w:tc>
          <w:tcPr/>
          <w:p>
            <w:pPr>
              <w:pStyle w:val="Compact"/>
              <w:jc w:val="center"/>
            </w:pPr>
            <m:oMath>
              <m:r>
                <m:t>23.29</m:t>
              </m:r>
              <m:r>
                <m:rPr>
                  <m:sty m:val="p"/>
                </m:rPr>
                <m:t>%</m:t>
              </m:r>
              <m:r>
                <m:rPr>
                  <m:sty m:val="p"/>
                </m:rPr>
                <m:t>±</m:t>
              </m:r>
              <m:r>
                <m:t>18.87</m:t>
              </m:r>
              <m:r>
                <m:rPr>
                  <m:sty m:val="p"/>
                </m:rPr>
                <m:t>%</m:t>
              </m:r>
            </m:oMath>
          </w:p>
        </w:tc>
        <w:tc>
          <w:tcPr/>
          <w:p>
            <w:pPr>
              <w:pStyle w:val="Compact"/>
              <w:jc w:val="center"/>
            </w:pPr>
            <m:oMath>
              <m:r>
                <m:t>76.71</m:t>
              </m:r>
              <m:r>
                <m:rPr>
                  <m:sty m:val="p"/>
                </m:rPr>
                <m:t>%</m:t>
              </m:r>
              <m:r>
                <m:rPr>
                  <m:sty m:val="p"/>
                </m:rPr>
                <m:t>±</m:t>
              </m:r>
              <m:r>
                <m:t>18.87</m:t>
              </m:r>
              <m:r>
                <m:rPr>
                  <m:sty m:val="p"/>
                </m:rPr>
                <m:t>%</m:t>
              </m:r>
            </m:oMath>
          </w:p>
        </w:tc>
        <w:tc>
          <w:tcPr/>
          <w:p>
            <w:pPr>
              <w:pStyle w:val="Compact"/>
              <w:jc w:val="center"/>
            </w:pPr>
            <m:oMath>
              <m:r>
                <m:t>92.11</m:t>
              </m:r>
              <m:r>
                <m:rPr>
                  <m:sty m:val="p"/>
                </m:rPr>
                <m:t>%</m:t>
              </m:r>
              <m:r>
                <m:rPr>
                  <m:sty m:val="p"/>
                </m:rPr>
                <m:t>±</m:t>
              </m:r>
              <m:r>
                <m:t>4.36</m:t>
              </m:r>
              <m:r>
                <m:rPr>
                  <m:sty m:val="p"/>
                </m:rPr>
                <m:t>%</m:t>
              </m:r>
            </m:oMath>
          </w:p>
        </w:tc>
        <w:tc>
          <w:tcPr/>
          <w:p>
            <w:pPr>
              <w:pStyle w:val="Compact"/>
              <w:jc w:val="center"/>
            </w:pPr>
            <m:oMath>
              <m:r>
                <m:t>85.68</m:t>
              </m:r>
              <m:r>
                <m:rPr>
                  <m:sty m:val="p"/>
                </m:rPr>
                <m:t>%</m:t>
              </m:r>
              <m:r>
                <m:rPr>
                  <m:sty m:val="p"/>
                </m:rPr>
                <m:t>±</m:t>
              </m:r>
              <m:r>
                <m:t>7.65</m:t>
              </m:r>
              <m:r>
                <m:rPr>
                  <m:sty m:val="p"/>
                </m:rPr>
                <m:t>%</m:t>
              </m:r>
            </m:oMath>
          </w:p>
        </w:tc>
      </w:tr>
    </w:tbl>
    <w:p>
      <w:pPr>
        <w:pStyle w:val="BodyText"/>
      </w:pPr>
      <w:r>
        <w:t xml:space="preserve">As visualized in Figure 4 and Figure 5, edge novelty on CIC-IDS2017 is consistently higher than on APEX-IDS2026 across all time scales (68.09% vs. 56.25% daily; 76.71% vs. 59.67% fine-grained). Correspondingly, Jaccard turnover reaches 81.61% on daily CIC-IDS2017 graphs and exceeds 90% at sub-daily scales.</w:t>
      </w:r>
    </w:p>
    <w:p>
      <w:pPr>
        <w:pStyle w:val="BodyText"/>
      </w:pPr>
      <w:r>
        <w:drawing>
          <wp:inline>
            <wp:extent cx="5334000" cy="2286000"/>
            <wp:effectExtent b="0" l="0" r="0" t="0"/>
            <wp:docPr descr="Figure 4: Chronological Topological Flux on APEX-IDS2026: Daily Edge Formation, Retention, and Extinction" title="" id="43" name="Picture"/>
            <a:graphic>
              <a:graphicData uri="http://schemas.openxmlformats.org/drawingml/2006/picture">
                <pic:pic>
                  <pic:nvPicPr>
                    <pic:cNvPr descr="../figures/fig04_transition_flux_added_removed.png" id="44" name="Picture"/>
                    <pic:cNvPicPr>
                      <a:picLocks noChangeArrowheads="1" noChangeAspect="1"/>
                    </pic:cNvPicPr>
                  </pic:nvPicPr>
                  <pic:blipFill>
                    <a:blip r:embed="rId42"/>
                    <a:stretch>
                      <a:fillRect/>
                    </a:stretch>
                  </pic:blipFill>
                  <pic:spPr bwMode="auto">
                    <a:xfrm>
                      <a:off x="0" y="0"/>
                      <a:ext cx="5334000" cy="2286000"/>
                    </a:xfrm>
                    <a:prstGeom prst="rect">
                      <a:avLst/>
                    </a:prstGeom>
                    <a:noFill/>
                    <a:ln w="9525">
                      <a:noFill/>
                      <a:headEnd/>
                      <a:tailEnd/>
                    </a:ln>
                  </pic:spPr>
                </pic:pic>
              </a:graphicData>
            </a:graphic>
          </wp:inline>
        </w:drawing>
      </w:r>
      <w:r>
        <w:br/>
      </w:r>
      <w:r>
        <w:rPr>
          <w:i/>
          <w:iCs/>
        </w:rPr>
        <w:t xml:space="preserve">Figure 4: Chronological edge flux across 43 sequential transitions between consecutive 24h windows on APEX-IDS2026: newly added edges (red), retained edges (blue), and expired/removed edges (gray). Green line traces the symmetric Jaccard turnover distance (</w:t>
      </w:r>
      <m:oMath>
        <m:sSub>
          <m:e>
            <m:r>
              <m:t>T</m:t>
            </m:r>
          </m:e>
          <m:sub>
            <m:r>
              <m:rPr>
                <m:nor/>
                <m:sty m:val="p"/>
              </m:rPr>
              <m:t>Jaccard</m:t>
            </m:r>
          </m:sub>
        </m:sSub>
      </m:oMath>
      <w:r>
        <w:rPr>
          <w:i/>
          <w:iCs/>
        </w:rPr>
        <w:t xml:space="preserve">).</w:t>
      </w:r>
    </w:p>
    <w:p>
      <w:pPr>
        <w:pStyle w:val="BodyText"/>
      </w:pPr>
      <w:r>
        <w:drawing>
          <wp:inline>
            <wp:extent cx="5334000" cy="2198188"/>
            <wp:effectExtent b="0" l="0" r="0" t="0"/>
            <wp:docPr descr="Figure 5: Multi-Scale Directional Recurrence, Novelty, and Turnover Rates across APEX-IDS2026 and CIC-IDS2017" title="" id="46" name="Picture"/>
            <a:graphic>
              <a:graphicData uri="http://schemas.openxmlformats.org/drawingml/2006/picture">
                <pic:pic>
                  <pic:nvPicPr>
                    <pic:cNvPr descr="../figures/fig05_multiscale_dynamics_rates.png" id="47" name="Picture"/>
                    <pic:cNvPicPr>
                      <a:picLocks noChangeArrowheads="1" noChangeAspect="1"/>
                    </pic:cNvPicPr>
                  </pic:nvPicPr>
                  <pic:blipFill>
                    <a:blip r:embed="rId45"/>
                    <a:stretch>
                      <a:fillRect/>
                    </a:stretch>
                  </pic:blipFill>
                  <pic:spPr bwMode="auto">
                    <a:xfrm>
                      <a:off x="0" y="0"/>
                      <a:ext cx="5334000" cy="2198188"/>
                    </a:xfrm>
                    <a:prstGeom prst="rect">
                      <a:avLst/>
                    </a:prstGeom>
                    <a:noFill/>
                    <a:ln w="9525">
                      <a:noFill/>
                      <a:headEnd/>
                      <a:tailEnd/>
                    </a:ln>
                  </pic:spPr>
                </pic:pic>
              </a:graphicData>
            </a:graphic>
          </wp:inline>
        </w:drawing>
      </w:r>
      <w:r>
        <w:br/>
      </w:r>
      <w:r>
        <w:rPr>
          <w:i/>
          <w:iCs/>
        </w:rPr>
        <w:t xml:space="preserve">Figure 5: Multi-scale graph dynamics across APEX-IDS2026 (left) and CIC-IDS2017 (right) evaluating three temporal window sizes per dataset (APEX: 24h, 12h, 6h; CIC: 24h, 6h, 1h). Bars display arithmetic mean rates across sequential transitions: directional edge recurrence (</w:t>
      </w:r>
      <m:oMath>
        <m:sSub>
          <m:e>
            <m:r>
              <m:t>R</m:t>
            </m:r>
          </m:e>
          <m:sub>
            <m:r>
              <m:t>t</m:t>
            </m:r>
          </m:sub>
        </m:sSub>
      </m:oMath>
      <w:r>
        <w:rPr>
          <w:i/>
          <w:iCs/>
        </w:rPr>
        <w:t xml:space="preserve">, blue), directional edge novelty (</w:t>
      </w:r>
      <m:oMath>
        <m:sSub>
          <m:e>
            <m:r>
              <m:t>N</m:t>
            </m:r>
          </m:e>
          <m:sub>
            <m:r>
              <m:t>t</m:t>
            </m:r>
          </m:sub>
        </m:sSub>
      </m:oMath>
      <w:r>
        <w:rPr>
          <w:i/>
          <w:iCs/>
        </w:rPr>
        <w:t xml:space="preserve">, amber), and symmetric turnover (</w:t>
      </w:r>
      <m:oMath>
        <m:sSub>
          <m:e>
            <m:r>
              <m:t>T</m:t>
            </m:r>
          </m:e>
          <m:sub>
            <m:r>
              <m:rPr>
                <m:nor/>
                <m:sty m:val="p"/>
              </m:rPr>
              <m:t>Jaccard</m:t>
            </m:r>
          </m:sub>
        </m:sSub>
      </m:oMath>
      <w:r>
        <w:rPr>
          <w:i/>
          <w:iCs/>
        </w:rPr>
        <w:t xml:space="preserve">, red). Error bars represent</w:t>
      </w:r>
      <w:r>
        <w:rPr>
          <w:i/>
          <w:iCs/>
        </w:rPr>
        <w:t xml:space="preserve"> </w:t>
      </w:r>
      <m:oMath>
        <m:r>
          <m:rPr>
            <m:sty m:val="p"/>
          </m:rPr>
          <m:t>±</m:t>
        </m:r>
        <m:r>
          <m:t>1</m:t>
        </m:r>
      </m:oMath>
      <w:r>
        <w:rPr>
          <w:i/>
          <w:iCs/>
        </w:rPr>
        <w:t xml:space="preserve"> </w:t>
      </w:r>
      <w:r>
        <w:rPr>
          <w:i/>
          <w:iCs/>
        </w:rPr>
        <w:t xml:space="preserve">sample standard deviation.</w:t>
      </w:r>
    </w:p>
    <w:bookmarkEnd w:id="48"/>
    <w:bookmarkStart w:id="52" w:name="five-seed-link-prediction-benchmark"/>
    <w:p>
      <w:pPr>
        <w:pStyle w:val="Heading3"/>
      </w:pPr>
      <w:r>
        <w:t xml:space="preserve">5.2 Five-Seed Link Prediction Benchmark</w:t>
      </w:r>
    </w:p>
    <w:p>
      <w:pPr>
        <w:pStyle w:val="FirstParagraph"/>
      </w:pPr>
      <w:r>
        <w:t xml:space="preserve">Tables 2 and 3 report the link prediction benchmark across five random seeds (</w:t>
      </w:r>
      <w:r>
        <w:rPr>
          <w:rStyle w:val="VerbatimChar"/>
        </w:rPr>
        <w:t xml:space="preserve">[42, 100, 123, 456, 999]</w:t>
      </w:r>
      <w:r>
        <w:t xml:space="preserve">), comparing Setting A (Hard Historical Negatives) and Setting B (Mixed Random Negatives).</w:t>
      </w:r>
    </w:p>
    <w:p>
      <w:pPr>
        <w:pStyle w:val="BodyText"/>
      </w:pPr>
      <w:r>
        <w:rPr>
          <w:b/>
          <w:bCs/>
        </w:rPr>
        <w:t xml:space="preserve">Table 2: Five-seed link prediction benchmark on APEX-IDS2026 (Days 32–43, 12 test transitions).</w:t>
      </w:r>
      <w:r>
        <w:br/>
      </w:r>
      <w:r>
        <w:rPr>
          <w:i/>
          <w:iCs/>
        </w:rPr>
        <w:t xml:space="preserve">Metrics report arithmetic mean and sample standard deviation across 5 independent random seed runs (each evaluating per-transition metrics across fixed candidate sizes). The 95% confidence intervals (95% CI) quantify uncertainty in the 5-run mean under Student’s</w:t>
      </w:r>
      <w:r>
        <w:rPr>
          <w:i/>
          <w:iCs/>
        </w:rPr>
        <w:t xml:space="preserve"> </w:t>
      </w:r>
      <m:oMath>
        <m:r>
          <m:t>t</m:t>
        </m:r>
      </m:oMath>
      <w:r>
        <w:rPr>
          <w:i/>
          <w:iCs/>
        </w:rPr>
        <w:t xml:space="preserve"> </w:t>
      </w:r>
      <w:r>
        <w:rPr>
          <w:i/>
          <w:iCs/>
        </w:rPr>
        <w:t xml:space="preserve">with 4 degrees of freedom (</w:t>
      </w:r>
      <m:oMath>
        <m:sSub>
          <m:e>
            <m:r>
              <m:t>t</m:t>
            </m:r>
          </m:e>
          <m:sub>
            <m:r>
              <m:rPr>
                <m:nor/>
                <m:sty m:val="p"/>
              </m:rPr>
              <m:t>crit</m:t>
            </m:r>
          </m:sub>
        </m:sSub>
        <m:r>
          <m:rPr>
            <m:sty m:val="p"/>
          </m:rPr>
          <m:t>=</m:t>
        </m:r>
        <m:r>
          <m:t>2.776</m:t>
        </m:r>
      </m:oMath>
      <w:r>
        <w:rPr>
          <w:i/>
          <w:iCs/>
        </w:rPr>
        <w:t xml:space="preserve">), not temporal generalization across unobserved epochs. Ranking ROC-AUC and Average Precision (PR-AUC) are evaluated for continuous scoring predictors; discrete binary step predictors are marked</w:t>
      </w:r>
      <w:r>
        <w:rPr>
          <w:i/>
          <w:iCs/>
        </w:rPr>
        <w:t xml:space="preserve"> </w:t>
      </w:r>
      <w:r>
        <w:rPr>
          <w:rStyle w:val="VerbatimChar"/>
          <w:i/>
          <w:iCs/>
        </w:rPr>
        <w:t xml:space="preserve">N/A (Discrete)</w:t>
      </w:r>
      <w:r>
        <w:rPr>
          <w:i/>
          <w:iCs/>
        </w:rPr>
        <w:t xml:space="preserve">.</w:t>
      </w:r>
    </w:p>
    <w:tbl>
      <w:tblPr>
        <w:tblStyle w:val="Table"/>
        <w:tblW w:type="pct" w:w="5000"/>
        <w:tblLayout w:type="fixed"/>
        <w:tblLook w:firstRow="1" w:lastRow="0" w:firstColumn="0" w:lastColumn="0" w:noHBand="0" w:noVBand="0" w:val="0020"/>
      </w:tblPr>
      <w:tblGrid>
        <w:gridCol w:w="812"/>
        <w:gridCol w:w="1015"/>
        <w:gridCol w:w="1015"/>
        <w:gridCol w:w="1015"/>
        <w:gridCol w:w="1015"/>
        <w:gridCol w:w="1015"/>
        <w:gridCol w:w="1015"/>
        <w:gridCol w:w="1015"/>
      </w:tblGrid>
      <w:tr>
        <w:trPr>
          <w:tblHeader w:val="on"/>
        </w:trPr>
        <w:tc>
          <w:tcPr/>
          <w:p>
            <w:pPr>
              <w:pStyle w:val="Compact"/>
              <w:jc w:val="left"/>
            </w:pPr>
            <w:r>
              <w:t xml:space="preserve">Model</w:t>
            </w:r>
          </w:p>
        </w:tc>
        <w:tc>
          <w:tcPr/>
          <w:p>
            <w:pPr>
              <w:pStyle w:val="Compact"/>
              <w:jc w:val="center"/>
            </w:pPr>
            <w:r>
              <w:t xml:space="preserve">Evaluation Setting</w:t>
            </w:r>
          </w:p>
        </w:tc>
        <w:tc>
          <w:tcPr/>
          <w:p>
            <w:pPr>
              <w:pStyle w:val="Compact"/>
              <w:jc w:val="center"/>
            </w:pPr>
            <w:r>
              <w:t xml:space="preserve">F1 (Mean ± Std)</w:t>
            </w:r>
          </w:p>
        </w:tc>
        <w:tc>
          <w:tcPr/>
          <w:p>
            <w:pPr>
              <w:pStyle w:val="Compact"/>
              <w:jc w:val="center"/>
            </w:pPr>
            <w:r>
              <w:t xml:space="preserve">F1 95% CI</w:t>
            </w:r>
          </w:p>
        </w:tc>
        <w:tc>
          <w:tcPr/>
          <w:p>
            <w:pPr>
              <w:pStyle w:val="Compact"/>
              <w:jc w:val="center"/>
            </w:pPr>
            <w:r>
              <w:t xml:space="preserve">Precision</w:t>
            </w:r>
          </w:p>
        </w:tc>
        <w:tc>
          <w:tcPr/>
          <w:p>
            <w:pPr>
              <w:pStyle w:val="Compact"/>
              <w:jc w:val="center"/>
            </w:pPr>
            <w:r>
              <w:t xml:space="preserve">Recall</w:t>
            </w:r>
          </w:p>
        </w:tc>
        <w:tc>
          <w:tcPr/>
          <w:p>
            <w:pPr>
              <w:pStyle w:val="Compact"/>
              <w:jc w:val="center"/>
            </w:pPr>
            <w:r>
              <w:t xml:space="preserve">ROC-AUC</w:t>
            </w:r>
          </w:p>
        </w:tc>
        <w:tc>
          <w:tcPr/>
          <w:p>
            <w:pPr>
              <w:pStyle w:val="Compact"/>
              <w:jc w:val="center"/>
            </w:pPr>
            <w:r>
              <w:t xml:space="preserve">Average Precision</w:t>
            </w:r>
          </w:p>
        </w:tc>
      </w:tr>
      <w:tr>
        <w:tc>
          <w:tcPr/>
          <w:p>
            <w:pPr>
              <w:pStyle w:val="Compact"/>
              <w:jc w:val="left"/>
            </w:pPr>
            <w:r>
              <w:rPr>
                <w:b/>
                <w:bCs/>
              </w:rPr>
              <w:t xml:space="preserve">EdgeBank-tw (</w:t>
            </w:r>
            <m:oMath>
              <m:r>
                <m:t>W</m:t>
              </m:r>
              <m:r>
                <m:rPr>
                  <m:sty m:val="p"/>
                </m:rPr>
                <m:t>=</m:t>
              </m:r>
              <m:r>
                <m:t>2</m:t>
              </m:r>
            </m:oMath>
            <w:r>
              <w:rPr>
                <w:b/>
                <w:bCs/>
              </w:rPr>
              <w:t xml:space="preserve">, binary)</w:t>
            </w:r>
          </w:p>
        </w:tc>
        <w:tc>
          <w:tcPr/>
          <w:p>
            <w:pPr>
              <w:pStyle w:val="Compact"/>
              <w:jc w:val="center"/>
            </w:pPr>
            <w:r>
              <w:rPr>
                <w:b/>
                <w:bCs/>
              </w:rPr>
              <w:t xml:space="preserve">Setting A (Hard)</w:t>
            </w:r>
          </w:p>
        </w:tc>
        <w:tc>
          <w:tcPr/>
          <w:p>
            <w:pPr>
              <w:pStyle w:val="Compact"/>
              <w:jc w:val="center"/>
            </w:pPr>
            <w:r>
              <w:rPr>
                <w:b/>
                <w:bCs/>
              </w:rPr>
              <w:t xml:space="preserve">69.78% ± 0.08%</w:t>
            </w:r>
          </w:p>
        </w:tc>
        <w:tc>
          <w:tcPr/>
          <w:p>
            <w:pPr>
              <w:pStyle w:val="Compact"/>
              <w:jc w:val="center"/>
            </w:pPr>
            <w:r>
              <w:rPr>
                <w:b/>
                <w:bCs/>
              </w:rPr>
              <w:t xml:space="preserve">±0.10%</w:t>
            </w:r>
          </w:p>
        </w:tc>
        <w:tc>
          <w:tcPr/>
          <w:p>
            <w:pPr>
              <w:pStyle w:val="Compact"/>
              <w:jc w:val="center"/>
            </w:pPr>
            <w:r>
              <w:rPr>
                <w:b/>
                <w:bCs/>
              </w:rPr>
              <w:t xml:space="preserve">85.04% ± 0.24%</w:t>
            </w:r>
          </w:p>
        </w:tc>
        <w:tc>
          <w:tcPr/>
          <w:p>
            <w:pPr>
              <w:pStyle w:val="Compact"/>
              <w:jc w:val="center"/>
            </w:pPr>
            <w:r>
              <w:t xml:space="preserve">60.01% ± 0.00%</w:t>
            </w:r>
          </w:p>
        </w:tc>
        <w:tc>
          <w:tcPr/>
          <w:p>
            <w:pPr>
              <w:pStyle w:val="Compact"/>
              <w:jc w:val="center"/>
            </w:pPr>
            <w:r>
              <w:rPr>
                <w:i/>
                <w:iCs/>
              </w:rPr>
              <w:t xml:space="preserve">N/A (Discrete)</w:t>
            </w:r>
          </w:p>
        </w:tc>
        <w:tc>
          <w:tcPr/>
          <w:p>
            <w:pPr>
              <w:pStyle w:val="Compact"/>
              <w:jc w:val="center"/>
            </w:pPr>
            <w:r>
              <w:rPr>
                <w:i/>
                <w:iCs/>
              </w:rPr>
              <w:t xml:space="preserve">N/A (Discrete)</w:t>
            </w:r>
          </w:p>
        </w:tc>
      </w:tr>
      <w:tr>
        <w:tc>
          <w:tcPr/>
          <w:p>
            <w:pPr>
              <w:pStyle w:val="Compact"/>
              <w:jc w:val="left"/>
            </w:pPr>
            <w:r>
              <w:rPr>
                <w:b/>
                <w:bCs/>
              </w:rPr>
              <w:t xml:space="preserve">Persistence</w:t>
            </w:r>
          </w:p>
        </w:tc>
        <w:tc>
          <w:tcPr/>
          <w:p>
            <w:pPr>
              <w:pStyle w:val="Compact"/>
              <w:jc w:val="center"/>
            </w:pPr>
            <w:r>
              <w:rPr>
                <w:b/>
                <w:bCs/>
              </w:rPr>
              <w:t xml:space="preserve">Setting A (Hard)</w:t>
            </w:r>
          </w:p>
        </w:tc>
        <w:tc>
          <w:tcPr/>
          <w:p>
            <w:pPr>
              <w:pStyle w:val="Compact"/>
              <w:jc w:val="center"/>
            </w:pPr>
            <w:r>
              <w:t xml:space="preserve">64.09% ± 0.05%</w:t>
            </w:r>
          </w:p>
        </w:tc>
        <w:tc>
          <w:tcPr/>
          <w:p>
            <w:pPr>
              <w:pStyle w:val="Compact"/>
              <w:jc w:val="center"/>
            </w:pPr>
            <w:r>
              <w:t xml:space="preserve">±0.06%</w:t>
            </w:r>
          </w:p>
        </w:tc>
        <w:tc>
          <w:tcPr/>
          <w:p>
            <w:pPr>
              <w:pStyle w:val="Compact"/>
              <w:jc w:val="center"/>
            </w:pPr>
            <w:r>
              <w:t xml:space="preserve">89.74% ± 0.18%</w:t>
            </w:r>
          </w:p>
        </w:tc>
        <w:tc>
          <w:tcPr/>
          <w:p>
            <w:pPr>
              <w:pStyle w:val="Compact"/>
              <w:jc w:val="center"/>
            </w:pPr>
            <w:r>
              <w:t xml:space="preserve">50.94% ± 0.00%</w:t>
            </w:r>
          </w:p>
        </w:tc>
        <w:tc>
          <w:tcPr/>
          <w:p>
            <w:pPr>
              <w:pStyle w:val="Compact"/>
              <w:jc w:val="center"/>
            </w:pPr>
            <w:r>
              <w:rPr>
                <w:i/>
                <w:iCs/>
              </w:rPr>
              <w:t xml:space="preserve">N/A (Discrete)</w:t>
            </w:r>
          </w:p>
        </w:tc>
        <w:tc>
          <w:tcPr/>
          <w:p>
            <w:pPr>
              <w:pStyle w:val="Compact"/>
              <w:jc w:val="center"/>
            </w:pPr>
            <w:r>
              <w:rPr>
                <w:i/>
                <w:iCs/>
              </w:rPr>
              <w:t xml:space="preserve">N/A (Discrete)</w:t>
            </w:r>
          </w:p>
        </w:tc>
      </w:tr>
      <w:tr>
        <w:tc>
          <w:tcPr/>
          <w:p>
            <w:pPr>
              <w:pStyle w:val="Compact"/>
              <w:jc w:val="left"/>
            </w:pPr>
            <w:r>
              <w:rPr>
                <w:b/>
                <w:bCs/>
              </w:rPr>
              <w:t xml:space="preserve">EdgeBank-∞ (binary)</w:t>
            </w:r>
          </w:p>
        </w:tc>
        <w:tc>
          <w:tcPr/>
          <w:p>
            <w:pPr>
              <w:pStyle w:val="Compact"/>
              <w:jc w:val="center"/>
            </w:pPr>
            <w:r>
              <w:rPr>
                <w:b/>
                <w:bCs/>
              </w:rPr>
              <w:t xml:space="preserve">Setting A (Hard)</w:t>
            </w:r>
          </w:p>
        </w:tc>
        <w:tc>
          <w:tcPr/>
          <w:p>
            <w:pPr>
              <w:pStyle w:val="Compact"/>
              <w:jc w:val="center"/>
            </w:pPr>
            <w:r>
              <w:t xml:space="preserve">61.47% ± 0.00%</w:t>
            </w:r>
          </w:p>
        </w:tc>
        <w:tc>
          <w:tcPr/>
          <w:p>
            <w:pPr>
              <w:pStyle w:val="Compact"/>
              <w:jc w:val="center"/>
            </w:pPr>
            <w:r>
              <w:t xml:space="preserve">±0.00%</w:t>
            </w:r>
          </w:p>
        </w:tc>
        <w:tc>
          <w:tcPr/>
          <w:p>
            <w:pPr>
              <w:pStyle w:val="Compact"/>
              <w:jc w:val="center"/>
            </w:pPr>
            <w:r>
              <w:t xml:space="preserve">47.02% ± 0.00%</w:t>
            </w:r>
          </w:p>
        </w:tc>
        <w:tc>
          <w:tcPr/>
          <w:p>
            <w:pPr>
              <w:pStyle w:val="Compact"/>
              <w:jc w:val="center"/>
            </w:pPr>
            <w:r>
              <w:t xml:space="preserve">88.77% ± 0.00%</w:t>
            </w:r>
          </w:p>
        </w:tc>
        <w:tc>
          <w:tcPr/>
          <w:p>
            <w:pPr>
              <w:pStyle w:val="Compact"/>
              <w:jc w:val="center"/>
            </w:pPr>
            <w:r>
              <w:rPr>
                <w:i/>
                <w:iCs/>
              </w:rPr>
              <w:t xml:space="preserve">N/A (Discrete)</w:t>
            </w:r>
          </w:p>
        </w:tc>
        <w:tc>
          <w:tcPr/>
          <w:p>
            <w:pPr>
              <w:pStyle w:val="Compact"/>
              <w:jc w:val="center"/>
            </w:pPr>
            <w:r>
              <w:rPr>
                <w:i/>
                <w:iCs/>
              </w:rPr>
              <w:t xml:space="preserve">N/A (Discrete)</w:t>
            </w:r>
          </w:p>
        </w:tc>
      </w:tr>
      <w:tr>
        <w:tc>
          <w:tcPr/>
          <w:p>
            <w:pPr>
              <w:pStyle w:val="Compact"/>
              <w:jc w:val="left"/>
            </w:pPr>
            <w:r>
              <w:t xml:space="preserve">EdgeBank-∞ (frequency)</w:t>
            </w:r>
          </w:p>
        </w:tc>
        <w:tc>
          <w:tcPr/>
          <w:p>
            <w:pPr>
              <w:pStyle w:val="Compact"/>
              <w:jc w:val="center"/>
            </w:pPr>
            <w:r>
              <w:t xml:space="preserve">Setting A (Hard)</w:t>
            </w:r>
          </w:p>
        </w:tc>
        <w:tc>
          <w:tcPr/>
          <w:p>
            <w:pPr>
              <w:pStyle w:val="Compact"/>
              <w:jc w:val="center"/>
            </w:pPr>
            <w:r>
              <w:t xml:space="preserve">48.96% ± 0.02%</w:t>
            </w:r>
          </w:p>
        </w:tc>
        <w:tc>
          <w:tcPr/>
          <w:p>
            <w:pPr>
              <w:pStyle w:val="Compact"/>
              <w:jc w:val="center"/>
            </w:pPr>
            <w:r>
              <w:t xml:space="preserve">±0.03%</w:t>
            </w:r>
          </w:p>
        </w:tc>
        <w:tc>
          <w:tcPr/>
          <w:p>
            <w:pPr>
              <w:pStyle w:val="Compact"/>
              <w:jc w:val="center"/>
            </w:pPr>
            <w:r>
              <w:t xml:space="preserve">96.55% ± 0.14%</w:t>
            </w:r>
          </w:p>
        </w:tc>
        <w:tc>
          <w:tcPr/>
          <w:p>
            <w:pPr>
              <w:pStyle w:val="Compact"/>
              <w:jc w:val="center"/>
            </w:pPr>
            <w:r>
              <w:t xml:space="preserve">33.27% ± 0.00%</w:t>
            </w:r>
          </w:p>
        </w:tc>
        <w:tc>
          <w:tcPr/>
          <w:p>
            <w:pPr>
              <w:pStyle w:val="Compact"/>
              <w:jc w:val="center"/>
            </w:pPr>
            <w:r>
              <w:t xml:space="preserve">0.7642 ± 0.0006</w:t>
            </w:r>
          </w:p>
        </w:tc>
        <w:tc>
          <w:tcPr/>
          <w:p>
            <w:pPr>
              <w:pStyle w:val="Compact"/>
              <w:jc w:val="center"/>
            </w:pPr>
            <w:r>
              <w:t xml:space="preserve">0.8144 ± 0.0006</w:t>
            </w:r>
          </w:p>
        </w:tc>
      </w:tr>
      <w:tr>
        <w:tc>
          <w:tcPr/>
          <w:p>
            <w:pPr>
              <w:pStyle w:val="Compact"/>
              <w:jc w:val="left"/>
            </w:pPr>
            <w:r>
              <w:t xml:space="preserve">EvolveGCN-H</w:t>
            </w:r>
          </w:p>
        </w:tc>
        <w:tc>
          <w:tcPr/>
          <w:p>
            <w:pPr>
              <w:pStyle w:val="Compact"/>
              <w:jc w:val="center"/>
            </w:pPr>
            <w:r>
              <w:t xml:space="preserve">Setting A (Hard)</w:t>
            </w:r>
          </w:p>
        </w:tc>
        <w:tc>
          <w:tcPr/>
          <w:p>
            <w:pPr>
              <w:pStyle w:val="Compact"/>
              <w:jc w:val="center"/>
            </w:pPr>
            <w:r>
              <w:t xml:space="preserve">46.36% ± 26.53%</w:t>
            </w:r>
          </w:p>
        </w:tc>
        <w:tc>
          <w:tcPr/>
          <w:p>
            <w:pPr>
              <w:pStyle w:val="Compact"/>
              <w:jc w:val="center"/>
            </w:pPr>
            <w:r>
              <w:t xml:space="preserve">±32.94%</w:t>
            </w:r>
          </w:p>
        </w:tc>
        <w:tc>
          <w:tcPr/>
          <w:p>
            <w:pPr>
              <w:pStyle w:val="Compact"/>
              <w:jc w:val="center"/>
            </w:pPr>
            <w:r>
              <w:t xml:space="preserve">38.67% ± 22.09%</w:t>
            </w:r>
          </w:p>
        </w:tc>
        <w:tc>
          <w:tcPr/>
          <w:p>
            <w:pPr>
              <w:pStyle w:val="Compact"/>
              <w:jc w:val="center"/>
            </w:pPr>
            <w:r>
              <w:t xml:space="preserve">59.35% ± 36.38%</w:t>
            </w:r>
          </w:p>
        </w:tc>
        <w:tc>
          <w:tcPr/>
          <w:p>
            <w:pPr>
              <w:pStyle w:val="Compact"/>
              <w:jc w:val="center"/>
            </w:pPr>
            <w:r>
              <w:t xml:space="preserve">0.5277 ± 0.0545</w:t>
            </w:r>
          </w:p>
        </w:tc>
        <w:tc>
          <w:tcPr/>
          <w:p>
            <w:pPr>
              <w:pStyle w:val="Compact"/>
              <w:jc w:val="center"/>
            </w:pPr>
            <w:r>
              <w:t xml:space="preserve">0.5685 ± 0.0769</w:t>
            </w:r>
          </w:p>
        </w:tc>
      </w:tr>
      <w:tr>
        <w:tc>
          <w:tcPr/>
          <w:p>
            <w:pPr>
              <w:pStyle w:val="Compact"/>
              <w:jc w:val="left"/>
            </w:pPr>
            <w:r>
              <w:t xml:space="preserve">Common Neighbors (directed)</w:t>
            </w:r>
          </w:p>
        </w:tc>
        <w:tc>
          <w:tcPr/>
          <w:p>
            <w:pPr>
              <w:pStyle w:val="Compact"/>
              <w:jc w:val="center"/>
            </w:pPr>
            <w:r>
              <w:t xml:space="preserve">Setting A (Hard)</w:t>
            </w:r>
          </w:p>
        </w:tc>
        <w:tc>
          <w:tcPr/>
          <w:p>
            <w:pPr>
              <w:pStyle w:val="Compact"/>
              <w:jc w:val="center"/>
            </w:pPr>
            <w:r>
              <w:t xml:space="preserve">4.05% ± 0.00%</w:t>
            </w:r>
          </w:p>
        </w:tc>
        <w:tc>
          <w:tcPr/>
          <w:p>
            <w:pPr>
              <w:pStyle w:val="Compact"/>
              <w:jc w:val="center"/>
            </w:pPr>
            <w:r>
              <w:t xml:space="preserve">±0.00%</w:t>
            </w:r>
          </w:p>
        </w:tc>
        <w:tc>
          <w:tcPr/>
          <w:p>
            <w:pPr>
              <w:pStyle w:val="Compact"/>
              <w:jc w:val="center"/>
            </w:pPr>
            <w:r>
              <w:t xml:space="preserve">93.46% ± 1.59%</w:t>
            </w:r>
          </w:p>
        </w:tc>
        <w:tc>
          <w:tcPr/>
          <w:p>
            <w:pPr>
              <w:pStyle w:val="Compact"/>
              <w:jc w:val="center"/>
            </w:pPr>
            <w:r>
              <w:t xml:space="preserve">2.08% ± 0.00%</w:t>
            </w:r>
          </w:p>
        </w:tc>
        <w:tc>
          <w:tcPr/>
          <w:p>
            <w:pPr>
              <w:pStyle w:val="Compact"/>
              <w:jc w:val="center"/>
            </w:pPr>
            <w:r>
              <w:t xml:space="preserve">0.5097 ± 0.0002</w:t>
            </w:r>
          </w:p>
        </w:tc>
        <w:tc>
          <w:tcPr/>
          <w:p>
            <w:pPr>
              <w:pStyle w:val="Compact"/>
              <w:jc w:val="center"/>
            </w:pPr>
            <w:r>
              <w:t xml:space="preserve">0.5090 ± 0.0003</w:t>
            </w:r>
          </w:p>
        </w:tc>
      </w:tr>
      <w:tr>
        <w:tc>
          <w:tcPr/>
          <w:p>
            <w:pPr>
              <w:pStyle w:val="Compact"/>
              <w:jc w:val="left"/>
            </w:pPr>
            <w:r>
              <w:t xml:space="preserve">Adamic-Adar (undirected)</w:t>
            </w:r>
          </w:p>
        </w:tc>
        <w:tc>
          <w:tcPr/>
          <w:p>
            <w:pPr>
              <w:pStyle w:val="Compact"/>
              <w:jc w:val="center"/>
            </w:pPr>
            <w:r>
              <w:t xml:space="preserve">Setting A (Hard)</w:t>
            </w:r>
          </w:p>
        </w:tc>
        <w:tc>
          <w:tcPr/>
          <w:p>
            <w:pPr>
              <w:pStyle w:val="Compact"/>
              <w:jc w:val="center"/>
            </w:pPr>
            <w:r>
              <w:t xml:space="preserve">1.38% ± 0.00%</w:t>
            </w:r>
          </w:p>
        </w:tc>
        <w:tc>
          <w:tcPr/>
          <w:p>
            <w:pPr>
              <w:pStyle w:val="Compact"/>
              <w:jc w:val="center"/>
            </w:pPr>
            <w:r>
              <w:t xml:space="preserve">±0.00%</w:t>
            </w:r>
          </w:p>
        </w:tc>
        <w:tc>
          <w:tcPr/>
          <w:p>
            <w:pPr>
              <w:pStyle w:val="Compact"/>
              <w:jc w:val="center"/>
            </w:pPr>
            <w:r>
              <w:t xml:space="preserve">90.47% ± 2.43%</w:t>
            </w:r>
          </w:p>
        </w:tc>
        <w:tc>
          <w:tcPr/>
          <w:p>
            <w:pPr>
              <w:pStyle w:val="Compact"/>
              <w:jc w:val="center"/>
            </w:pPr>
            <w:r>
              <w:t xml:space="preserve">0.70% ± 0.00%</w:t>
            </w:r>
          </w:p>
        </w:tc>
        <w:tc>
          <w:tcPr/>
          <w:p>
            <w:pPr>
              <w:pStyle w:val="Compact"/>
              <w:jc w:val="center"/>
            </w:pPr>
            <w:r>
              <w:t xml:space="preserve">0.5321 ± 0.0002</w:t>
            </w:r>
          </w:p>
        </w:tc>
        <w:tc>
          <w:tcPr/>
          <w:p>
            <w:pPr>
              <w:pStyle w:val="Compact"/>
              <w:jc w:val="center"/>
            </w:pPr>
            <w:r>
              <w:t xml:space="preserve">0.5314 ± 0.0005</w:t>
            </w:r>
          </w:p>
        </w:tc>
      </w:tr>
      <w:tr>
        <w:tc>
          <w:tcPr/>
          <w:p>
            <w:pPr>
              <w:pStyle w:val="Compact"/>
              <w:jc w:val="left"/>
            </w:pPr>
            <w:r>
              <w:t xml:space="preserve">Jaccard Coefficient (undirected)</w:t>
            </w:r>
          </w:p>
        </w:tc>
        <w:tc>
          <w:tcPr/>
          <w:p>
            <w:pPr>
              <w:pStyle w:val="Compact"/>
              <w:jc w:val="center"/>
            </w:pPr>
            <w:r>
              <w:t xml:space="preserve">Setting A (Hard)</w:t>
            </w:r>
          </w:p>
        </w:tc>
        <w:tc>
          <w:tcPr/>
          <w:p>
            <w:pPr>
              <w:pStyle w:val="Compact"/>
              <w:jc w:val="center"/>
            </w:pPr>
            <w:r>
              <w:t xml:space="preserve">0.00% ± 0.00%</w:t>
            </w:r>
          </w:p>
        </w:tc>
        <w:tc>
          <w:tcPr/>
          <w:p>
            <w:pPr>
              <w:pStyle w:val="Compact"/>
              <w:jc w:val="center"/>
            </w:pPr>
            <w:r>
              <w:t xml:space="preserve">±0.00%</w:t>
            </w:r>
          </w:p>
        </w:tc>
        <w:tc>
          <w:tcPr/>
          <w:p>
            <w:pPr>
              <w:pStyle w:val="Compact"/>
              <w:jc w:val="center"/>
            </w:pPr>
            <w:r>
              <w:t xml:space="preserve">0.00% ± 0.00%</w:t>
            </w:r>
          </w:p>
        </w:tc>
        <w:tc>
          <w:tcPr/>
          <w:p>
            <w:pPr>
              <w:pStyle w:val="Compact"/>
              <w:jc w:val="center"/>
            </w:pPr>
            <w:r>
              <w:t xml:space="preserve">0.00% ± 0.00%</w:t>
            </w:r>
          </w:p>
        </w:tc>
        <w:tc>
          <w:tcPr/>
          <w:p>
            <w:pPr>
              <w:pStyle w:val="Compact"/>
              <w:jc w:val="center"/>
            </w:pPr>
            <w:r>
              <w:t xml:space="preserve">0.5320 ± 0.0002</w:t>
            </w:r>
          </w:p>
        </w:tc>
        <w:tc>
          <w:tcPr/>
          <w:p>
            <w:pPr>
              <w:pStyle w:val="Compact"/>
              <w:jc w:val="center"/>
            </w:pPr>
            <w:r>
              <w:t xml:space="preserve">0.5271 ± 0.0008</w:t>
            </w:r>
          </w:p>
        </w:tc>
      </w:tr>
      <w:tr>
        <w:tc>
          <w:tcPr/>
          <w:p>
            <w:pPr>
              <w:pStyle w:val="Compact"/>
              <w:jc w:val="left"/>
            </w:pPr>
            <w:r>
              <w:rPr>
                <w:i/>
                <w:iCs/>
              </w:rPr>
              <w:t xml:space="preserve">EdgeBank-∞ (binary)</w:t>
            </w:r>
          </w:p>
        </w:tc>
        <w:tc>
          <w:tcPr/>
          <w:p>
            <w:pPr>
              <w:pStyle w:val="Compact"/>
              <w:jc w:val="center"/>
            </w:pPr>
            <w:r>
              <w:rPr>
                <w:i/>
                <w:iCs/>
              </w:rPr>
              <w:t xml:space="preserve">Setting B (Mixed)</w:t>
            </w:r>
          </w:p>
        </w:tc>
        <w:tc>
          <w:tcPr/>
          <w:p>
            <w:pPr>
              <w:pStyle w:val="Compact"/>
              <w:jc w:val="center"/>
            </w:pPr>
            <w:r>
              <w:rPr>
                <w:i/>
                <w:iCs/>
              </w:rPr>
              <w:t xml:space="preserve">94.01% ± 0.01%</w:t>
            </w:r>
          </w:p>
        </w:tc>
        <w:tc>
          <w:tcPr/>
          <w:p>
            <w:pPr>
              <w:pStyle w:val="Compact"/>
              <w:jc w:val="center"/>
            </w:pPr>
            <w:r>
              <w:rPr>
                <w:i/>
                <w:iCs/>
              </w:rPr>
              <w:t xml:space="preserve">±0.01%</w:t>
            </w:r>
          </w:p>
        </w:tc>
        <w:tc>
          <w:tcPr/>
          <w:p>
            <w:pPr>
              <w:pStyle w:val="Compact"/>
              <w:jc w:val="center"/>
            </w:pPr>
            <w:r>
              <w:rPr>
                <w:i/>
                <w:iCs/>
              </w:rPr>
              <w:t xml:space="preserve">99.95% ± 0.02%</w:t>
            </w:r>
          </w:p>
        </w:tc>
        <w:tc>
          <w:tcPr/>
          <w:p>
            <w:pPr>
              <w:pStyle w:val="Compact"/>
              <w:jc w:val="center"/>
            </w:pPr>
            <w:r>
              <w:rPr>
                <w:i/>
                <w:iCs/>
              </w:rPr>
              <w:t xml:space="preserve">88.77% ± 0.00%</w:t>
            </w:r>
          </w:p>
        </w:tc>
        <w:tc>
          <w:tcPr/>
          <w:p>
            <w:pPr>
              <w:pStyle w:val="Compact"/>
              <w:jc w:val="center"/>
            </w:pPr>
            <w:r>
              <w:rPr>
                <w:i/>
                <w:iCs/>
              </w:rPr>
              <w:t xml:space="preserve">N/A (Discrete)</w:t>
            </w:r>
          </w:p>
        </w:tc>
        <w:tc>
          <w:tcPr/>
          <w:p>
            <w:pPr>
              <w:pStyle w:val="Compact"/>
              <w:jc w:val="center"/>
            </w:pPr>
            <w:r>
              <w:rPr>
                <w:i/>
                <w:iCs/>
              </w:rPr>
              <w:t xml:space="preserve">N/A (Discrete)</w:t>
            </w:r>
          </w:p>
        </w:tc>
      </w:tr>
      <w:tr>
        <w:tc>
          <w:tcPr/>
          <w:p>
            <w:pPr>
              <w:pStyle w:val="Compact"/>
              <w:jc w:val="left"/>
            </w:pPr>
            <w:r>
              <w:rPr>
                <w:i/>
                <w:iCs/>
              </w:rPr>
              <w:t xml:space="preserve">EdgeBank-tw (</w:t>
            </w:r>
            <m:oMath>
              <m:r>
                <m:t>W</m:t>
              </m:r>
              <m:r>
                <m:rPr>
                  <m:sty m:val="p"/>
                </m:rPr>
                <m:t>=</m:t>
              </m:r>
              <m:r>
                <m:t>2</m:t>
              </m:r>
            </m:oMath>
            <w:r>
              <w:rPr>
                <w:i/>
                <w:iCs/>
              </w:rPr>
              <w:t xml:space="preserve">, binary)</w:t>
            </w:r>
          </w:p>
        </w:tc>
        <w:tc>
          <w:tcPr/>
          <w:p>
            <w:pPr>
              <w:pStyle w:val="Compact"/>
              <w:jc w:val="center"/>
            </w:pPr>
            <w:r>
              <w:rPr>
                <w:i/>
                <w:iCs/>
              </w:rPr>
              <w:t xml:space="preserve">Setting B (Mixed)</w:t>
            </w:r>
          </w:p>
        </w:tc>
        <w:tc>
          <w:tcPr/>
          <w:p>
            <w:pPr>
              <w:pStyle w:val="Compact"/>
              <w:jc w:val="center"/>
            </w:pPr>
            <w:r>
              <w:rPr>
                <w:i/>
                <w:iCs/>
              </w:rPr>
              <w:t xml:space="preserve">74.21% ± 0.01%</w:t>
            </w:r>
          </w:p>
        </w:tc>
        <w:tc>
          <w:tcPr/>
          <w:p>
            <w:pPr>
              <w:pStyle w:val="Compact"/>
              <w:jc w:val="center"/>
            </w:pPr>
            <w:r>
              <w:rPr>
                <w:i/>
                <w:iCs/>
              </w:rPr>
              <w:t xml:space="preserve">±0.01%</w:t>
            </w:r>
          </w:p>
        </w:tc>
        <w:tc>
          <w:tcPr/>
          <w:p>
            <w:pPr>
              <w:pStyle w:val="Compact"/>
              <w:jc w:val="center"/>
            </w:pPr>
            <w:r>
              <w:rPr>
                <w:i/>
                <w:iCs/>
              </w:rPr>
              <w:t xml:space="preserve">99.98% ± 0.02%</w:t>
            </w:r>
          </w:p>
        </w:tc>
        <w:tc>
          <w:tcPr/>
          <w:p>
            <w:pPr>
              <w:pStyle w:val="Compact"/>
              <w:jc w:val="center"/>
            </w:pPr>
            <w:r>
              <w:rPr>
                <w:i/>
                <w:iCs/>
              </w:rPr>
              <w:t xml:space="preserve">60.01% ± 0.00%</w:t>
            </w:r>
          </w:p>
        </w:tc>
        <w:tc>
          <w:tcPr/>
          <w:p>
            <w:pPr>
              <w:pStyle w:val="Compact"/>
              <w:jc w:val="center"/>
            </w:pPr>
            <w:r>
              <w:rPr>
                <w:i/>
                <w:iCs/>
              </w:rPr>
              <w:t xml:space="preserve">N/A (Discrete)</w:t>
            </w:r>
          </w:p>
        </w:tc>
        <w:tc>
          <w:tcPr/>
          <w:p>
            <w:pPr>
              <w:pStyle w:val="Compact"/>
              <w:jc w:val="center"/>
            </w:pPr>
            <w:r>
              <w:rPr>
                <w:i/>
                <w:iCs/>
              </w:rPr>
              <w:t xml:space="preserve">N/A (Discrete)</w:t>
            </w:r>
          </w:p>
        </w:tc>
      </w:tr>
      <w:tr>
        <w:tc>
          <w:tcPr/>
          <w:p>
            <w:pPr>
              <w:pStyle w:val="Compact"/>
              <w:jc w:val="left"/>
            </w:pPr>
            <w:r>
              <w:rPr>
                <w:i/>
                <w:iCs/>
              </w:rPr>
              <w:t xml:space="preserve">Persistence</w:t>
            </w:r>
          </w:p>
        </w:tc>
        <w:tc>
          <w:tcPr/>
          <w:p>
            <w:pPr>
              <w:pStyle w:val="Compact"/>
              <w:jc w:val="center"/>
            </w:pPr>
            <w:r>
              <w:rPr>
                <w:i/>
                <w:iCs/>
              </w:rPr>
              <w:t xml:space="preserve">Setting B (Mixed)</w:t>
            </w:r>
          </w:p>
        </w:tc>
        <w:tc>
          <w:tcPr/>
          <w:p>
            <w:pPr>
              <w:pStyle w:val="Compact"/>
              <w:jc w:val="center"/>
            </w:pPr>
            <w:r>
              <w:rPr>
                <w:i/>
                <w:iCs/>
              </w:rPr>
              <w:t xml:space="preserve">66.46% ± 0.01%</w:t>
            </w:r>
          </w:p>
        </w:tc>
        <w:tc>
          <w:tcPr/>
          <w:p>
            <w:pPr>
              <w:pStyle w:val="Compact"/>
              <w:jc w:val="center"/>
            </w:pPr>
            <w:r>
              <w:rPr>
                <w:i/>
                <w:iCs/>
              </w:rPr>
              <w:t xml:space="preserve">±0.01%</w:t>
            </w:r>
          </w:p>
        </w:tc>
        <w:tc>
          <w:tcPr/>
          <w:p>
            <w:pPr>
              <w:pStyle w:val="Compact"/>
              <w:jc w:val="center"/>
            </w:pPr>
            <w:r>
              <w:rPr>
                <w:i/>
                <w:iCs/>
              </w:rPr>
              <w:t xml:space="preserve">99.98% ± 0.02%</w:t>
            </w:r>
          </w:p>
        </w:tc>
        <w:tc>
          <w:tcPr/>
          <w:p>
            <w:pPr>
              <w:pStyle w:val="Compact"/>
              <w:jc w:val="center"/>
            </w:pPr>
            <w:r>
              <w:rPr>
                <w:i/>
                <w:iCs/>
              </w:rPr>
              <w:t xml:space="preserve">50.94% ± 0.00%</w:t>
            </w:r>
          </w:p>
        </w:tc>
        <w:tc>
          <w:tcPr/>
          <w:p>
            <w:pPr>
              <w:pStyle w:val="Compact"/>
              <w:jc w:val="center"/>
            </w:pPr>
            <w:r>
              <w:rPr>
                <w:i/>
                <w:iCs/>
              </w:rPr>
              <w:t xml:space="preserve">N/A (Discrete)</w:t>
            </w:r>
          </w:p>
        </w:tc>
        <w:tc>
          <w:tcPr/>
          <w:p>
            <w:pPr>
              <w:pStyle w:val="Compact"/>
              <w:jc w:val="center"/>
            </w:pPr>
            <w:r>
              <w:rPr>
                <w:i/>
                <w:iCs/>
              </w:rPr>
              <w:t xml:space="preserve">N/A (Discrete)</w:t>
            </w:r>
          </w:p>
        </w:tc>
      </w:tr>
      <w:tr>
        <w:tc>
          <w:tcPr/>
          <w:p>
            <w:pPr>
              <w:pStyle w:val="Compact"/>
              <w:jc w:val="left"/>
            </w:pPr>
            <w:r>
              <w:rPr>
                <w:i/>
                <w:iCs/>
              </w:rPr>
              <w:t xml:space="preserve">EvolveGCN-H</w:t>
            </w:r>
          </w:p>
        </w:tc>
        <w:tc>
          <w:tcPr/>
          <w:p>
            <w:pPr>
              <w:pStyle w:val="Compact"/>
              <w:jc w:val="center"/>
            </w:pPr>
            <w:r>
              <w:rPr>
                <w:i/>
                <w:iCs/>
              </w:rPr>
              <w:t xml:space="preserve">Setting B (Mixed)</w:t>
            </w:r>
          </w:p>
        </w:tc>
        <w:tc>
          <w:tcPr/>
          <w:p>
            <w:pPr>
              <w:pStyle w:val="Compact"/>
              <w:jc w:val="center"/>
            </w:pPr>
            <w:r>
              <w:rPr>
                <w:i/>
                <w:iCs/>
              </w:rPr>
              <w:t xml:space="preserve">53.54% ± 29.93%</w:t>
            </w:r>
          </w:p>
        </w:tc>
        <w:tc>
          <w:tcPr/>
          <w:p>
            <w:pPr>
              <w:pStyle w:val="Compact"/>
              <w:jc w:val="center"/>
            </w:pPr>
            <w:r>
              <w:rPr>
                <w:i/>
                <w:iCs/>
              </w:rPr>
              <w:t xml:space="preserve">±37.16%</w:t>
            </w:r>
          </w:p>
        </w:tc>
        <w:tc>
          <w:tcPr/>
          <w:p>
            <w:pPr>
              <w:pStyle w:val="Compact"/>
              <w:jc w:val="center"/>
            </w:pPr>
            <w:r>
              <w:rPr>
                <w:i/>
                <w:iCs/>
              </w:rPr>
              <w:t xml:space="preserve">51.48% ± 30.01%</w:t>
            </w:r>
          </w:p>
        </w:tc>
        <w:tc>
          <w:tcPr/>
          <w:p>
            <w:pPr>
              <w:pStyle w:val="Compact"/>
              <w:jc w:val="center"/>
            </w:pPr>
            <w:r>
              <w:rPr>
                <w:i/>
                <w:iCs/>
              </w:rPr>
              <w:t xml:space="preserve">59.35% ± 36.38%</w:t>
            </w:r>
          </w:p>
        </w:tc>
        <w:tc>
          <w:tcPr/>
          <w:p>
            <w:pPr>
              <w:pStyle w:val="Compact"/>
              <w:jc w:val="center"/>
            </w:pPr>
            <w:r>
              <w:rPr>
                <w:i/>
                <w:iCs/>
              </w:rPr>
              <w:t xml:space="preserve">0.6282 ± 0.1200</w:t>
            </w:r>
          </w:p>
        </w:tc>
        <w:tc>
          <w:tcPr/>
          <w:p>
            <w:pPr>
              <w:pStyle w:val="Compact"/>
              <w:jc w:val="center"/>
            </w:pPr>
            <w:r>
              <w:rPr>
                <w:i/>
                <w:iCs/>
              </w:rPr>
              <w:t xml:space="preserve">0.6367 ± 0.1172</w:t>
            </w:r>
          </w:p>
        </w:tc>
      </w:tr>
      <w:tr>
        <w:tc>
          <w:tcPr/>
          <w:p>
            <w:pPr>
              <w:pStyle w:val="Compact"/>
              <w:jc w:val="left"/>
            </w:pPr>
            <w:r>
              <w:rPr>
                <w:i/>
                <w:iCs/>
              </w:rPr>
              <w:t xml:space="preserve">EdgeBank-∞ (frequency)</w:t>
            </w:r>
          </w:p>
        </w:tc>
        <w:tc>
          <w:tcPr/>
          <w:p>
            <w:pPr>
              <w:pStyle w:val="Compact"/>
              <w:jc w:val="center"/>
            </w:pPr>
            <w:r>
              <w:rPr>
                <w:i/>
                <w:iCs/>
              </w:rPr>
              <w:t xml:space="preserve">Setting B (Mixed)</w:t>
            </w:r>
          </w:p>
        </w:tc>
        <w:tc>
          <w:tcPr/>
          <w:p>
            <w:pPr>
              <w:pStyle w:val="Compact"/>
              <w:jc w:val="center"/>
            </w:pPr>
            <w:r>
              <w:rPr>
                <w:i/>
                <w:iCs/>
              </w:rPr>
              <w:t xml:space="preserve">49.40% ± 0.00%</w:t>
            </w:r>
          </w:p>
        </w:tc>
        <w:tc>
          <w:tcPr/>
          <w:p>
            <w:pPr>
              <w:pStyle w:val="Compact"/>
              <w:jc w:val="center"/>
            </w:pPr>
            <w:r>
              <w:rPr>
                <w:i/>
                <w:iCs/>
              </w:rPr>
              <w:t xml:space="preserve">±0.00%</w:t>
            </w:r>
          </w:p>
        </w:tc>
        <w:tc>
          <w:tcPr/>
          <w:p>
            <w:pPr>
              <w:pStyle w:val="Compact"/>
              <w:jc w:val="center"/>
            </w:pPr>
            <w:r>
              <w:rPr>
                <w:i/>
                <w:iCs/>
              </w:rPr>
              <w:t xml:space="preserve">100.00% ± 0.00%</w:t>
            </w:r>
          </w:p>
        </w:tc>
        <w:tc>
          <w:tcPr/>
          <w:p>
            <w:pPr>
              <w:pStyle w:val="Compact"/>
              <w:jc w:val="center"/>
            </w:pPr>
            <w:r>
              <w:rPr>
                <w:i/>
                <w:iCs/>
              </w:rPr>
              <w:t xml:space="preserve">33.27% ± 0.00%</w:t>
            </w:r>
          </w:p>
        </w:tc>
        <w:tc>
          <w:tcPr/>
          <w:p>
            <w:pPr>
              <w:pStyle w:val="Compact"/>
              <w:jc w:val="center"/>
            </w:pPr>
            <w:r>
              <w:rPr>
                <w:i/>
                <w:iCs/>
              </w:rPr>
              <w:t xml:space="preserve">0.9438 ± 0.0000</w:t>
            </w:r>
          </w:p>
        </w:tc>
        <w:tc>
          <w:tcPr/>
          <w:p>
            <w:pPr>
              <w:pStyle w:val="Compact"/>
              <w:jc w:val="center"/>
            </w:pPr>
            <w:r>
              <w:rPr>
                <w:i/>
                <w:iCs/>
              </w:rPr>
              <w:t xml:space="preserve">0.9438 ± 0.0001</w:t>
            </w:r>
          </w:p>
        </w:tc>
      </w:tr>
      <w:tr>
        <w:tc>
          <w:tcPr/>
          <w:p>
            <w:pPr>
              <w:pStyle w:val="Compact"/>
              <w:jc w:val="left"/>
            </w:pPr>
            <w:r>
              <w:rPr>
                <w:i/>
                <w:iCs/>
              </w:rPr>
              <w:t xml:space="preserve">Common Neighbors (directed)</w:t>
            </w:r>
          </w:p>
        </w:tc>
        <w:tc>
          <w:tcPr/>
          <w:p>
            <w:pPr>
              <w:pStyle w:val="Compact"/>
              <w:jc w:val="center"/>
            </w:pPr>
            <w:r>
              <w:rPr>
                <w:i/>
                <w:iCs/>
              </w:rPr>
              <w:t xml:space="preserve">Setting B (Mixed)</w:t>
            </w:r>
          </w:p>
        </w:tc>
        <w:tc>
          <w:tcPr/>
          <w:p>
            <w:pPr>
              <w:pStyle w:val="Compact"/>
              <w:jc w:val="center"/>
            </w:pPr>
            <w:r>
              <w:rPr>
                <w:i/>
                <w:iCs/>
              </w:rPr>
              <w:t xml:space="preserve">4.05% ± 0.00%</w:t>
            </w:r>
          </w:p>
        </w:tc>
        <w:tc>
          <w:tcPr/>
          <w:p>
            <w:pPr>
              <w:pStyle w:val="Compact"/>
              <w:jc w:val="center"/>
            </w:pPr>
            <w:r>
              <w:rPr>
                <w:i/>
                <w:iCs/>
              </w:rPr>
              <w:t xml:space="preserve">±0.00%</w:t>
            </w:r>
          </w:p>
        </w:tc>
        <w:tc>
          <w:tcPr/>
          <w:p>
            <w:pPr>
              <w:pStyle w:val="Compact"/>
              <w:jc w:val="center"/>
            </w:pPr>
            <w:r>
              <w:rPr>
                <w:i/>
                <w:iCs/>
              </w:rPr>
              <w:t xml:space="preserve">97.20% ± 0.33%</w:t>
            </w:r>
          </w:p>
        </w:tc>
        <w:tc>
          <w:tcPr/>
          <w:p>
            <w:pPr>
              <w:pStyle w:val="Compact"/>
              <w:jc w:val="center"/>
            </w:pPr>
            <w:r>
              <w:rPr>
                <w:i/>
                <w:iCs/>
              </w:rPr>
              <w:t xml:space="preserve">2.08% ± 0.00%</w:t>
            </w:r>
          </w:p>
        </w:tc>
        <w:tc>
          <w:tcPr/>
          <w:p>
            <w:pPr>
              <w:pStyle w:val="Compact"/>
              <w:jc w:val="center"/>
            </w:pPr>
            <w:r>
              <w:rPr>
                <w:i/>
                <w:iCs/>
              </w:rPr>
              <w:t xml:space="preserve">0.5101 ± 0.0000</w:t>
            </w:r>
          </w:p>
        </w:tc>
        <w:tc>
          <w:tcPr/>
          <w:p>
            <w:pPr>
              <w:pStyle w:val="Compact"/>
              <w:jc w:val="center"/>
            </w:pPr>
            <w:r>
              <w:rPr>
                <w:i/>
                <w:iCs/>
              </w:rPr>
              <w:t xml:space="preserve">0.5099 ± 0.0001</w:t>
            </w:r>
          </w:p>
        </w:tc>
      </w:tr>
      <w:tr>
        <w:tc>
          <w:tcPr/>
          <w:p>
            <w:pPr>
              <w:pStyle w:val="Compact"/>
              <w:jc w:val="left"/>
            </w:pPr>
            <w:r>
              <w:rPr>
                <w:i/>
                <w:iCs/>
              </w:rPr>
              <w:t xml:space="preserve">Adamic-Adar (undirected)</w:t>
            </w:r>
          </w:p>
        </w:tc>
        <w:tc>
          <w:tcPr/>
          <w:p>
            <w:pPr>
              <w:pStyle w:val="Compact"/>
              <w:jc w:val="center"/>
            </w:pPr>
            <w:r>
              <w:rPr>
                <w:i/>
                <w:iCs/>
              </w:rPr>
              <w:t xml:space="preserve">Setting B (Mixed)</w:t>
            </w:r>
          </w:p>
        </w:tc>
        <w:tc>
          <w:tcPr/>
          <w:p>
            <w:pPr>
              <w:pStyle w:val="Compact"/>
              <w:jc w:val="center"/>
            </w:pPr>
            <w:r>
              <w:rPr>
                <w:i/>
                <w:iCs/>
              </w:rPr>
              <w:t xml:space="preserve">1.37% ± 0.00%</w:t>
            </w:r>
          </w:p>
        </w:tc>
        <w:tc>
          <w:tcPr/>
          <w:p>
            <w:pPr>
              <w:pStyle w:val="Compact"/>
              <w:jc w:val="center"/>
            </w:pPr>
            <w:r>
              <w:rPr>
                <w:i/>
                <w:iCs/>
              </w:rPr>
              <w:t xml:space="preserve">±0.00%</w:t>
            </w:r>
          </w:p>
        </w:tc>
        <w:tc>
          <w:tcPr/>
          <w:p>
            <w:pPr>
              <w:pStyle w:val="Compact"/>
              <w:jc w:val="center"/>
            </w:pPr>
            <w:r>
              <w:rPr>
                <w:i/>
                <w:iCs/>
              </w:rPr>
              <w:t xml:space="preserve">58.66% ± 2.69%</w:t>
            </w:r>
          </w:p>
        </w:tc>
        <w:tc>
          <w:tcPr/>
          <w:p>
            <w:pPr>
              <w:pStyle w:val="Compact"/>
              <w:jc w:val="center"/>
            </w:pPr>
            <w:r>
              <w:rPr>
                <w:i/>
                <w:iCs/>
              </w:rPr>
              <w:t xml:space="preserve">0.70% ± 0.00%</w:t>
            </w:r>
          </w:p>
        </w:tc>
        <w:tc>
          <w:tcPr/>
          <w:p>
            <w:pPr>
              <w:pStyle w:val="Compact"/>
              <w:jc w:val="center"/>
            </w:pPr>
            <w:r>
              <w:rPr>
                <w:i/>
                <w:iCs/>
              </w:rPr>
              <w:t xml:space="preserve">0.4351 ± 0.0017</w:t>
            </w:r>
          </w:p>
        </w:tc>
        <w:tc>
          <w:tcPr/>
          <w:p>
            <w:pPr>
              <w:pStyle w:val="Compact"/>
              <w:jc w:val="center"/>
            </w:pPr>
            <w:r>
              <w:rPr>
                <w:i/>
                <w:iCs/>
              </w:rPr>
              <w:t xml:space="preserve">0.5066 ± 0.0006</w:t>
            </w:r>
          </w:p>
        </w:tc>
      </w:tr>
      <w:tr>
        <w:tc>
          <w:tcPr/>
          <w:p>
            <w:pPr>
              <w:pStyle w:val="Compact"/>
              <w:jc w:val="left"/>
            </w:pPr>
            <w:r>
              <w:rPr>
                <w:i/>
                <w:iCs/>
              </w:rPr>
              <w:t xml:space="preserve">Jaccard Coefficient (undirected)</w:t>
            </w:r>
          </w:p>
        </w:tc>
        <w:tc>
          <w:tcPr/>
          <w:p>
            <w:pPr>
              <w:pStyle w:val="Compact"/>
              <w:jc w:val="center"/>
            </w:pPr>
            <w:r>
              <w:rPr>
                <w:i/>
                <w:iCs/>
              </w:rPr>
              <w:t xml:space="preserve">Setting B (Mixed)</w:t>
            </w:r>
          </w:p>
        </w:tc>
        <w:tc>
          <w:tcPr/>
          <w:p>
            <w:pPr>
              <w:pStyle w:val="Compact"/>
              <w:jc w:val="center"/>
            </w:pPr>
            <w:r>
              <w:rPr>
                <w:i/>
                <w:iCs/>
              </w:rPr>
              <w:t xml:space="preserve">0.00% ± 0.00%</w:t>
            </w:r>
          </w:p>
        </w:tc>
        <w:tc>
          <w:tcPr/>
          <w:p>
            <w:pPr>
              <w:pStyle w:val="Compact"/>
              <w:jc w:val="center"/>
            </w:pPr>
            <w:r>
              <w:rPr>
                <w:i/>
                <w:iCs/>
              </w:rPr>
              <w:t xml:space="preserve">±0.00%</w:t>
            </w:r>
          </w:p>
        </w:tc>
        <w:tc>
          <w:tcPr/>
          <w:p>
            <w:pPr>
              <w:pStyle w:val="Compact"/>
              <w:jc w:val="center"/>
            </w:pPr>
            <w:r>
              <w:rPr>
                <w:i/>
                <w:iCs/>
              </w:rPr>
              <w:t xml:space="preserve">0.00% ± 0.00%</w:t>
            </w:r>
          </w:p>
        </w:tc>
        <w:tc>
          <w:tcPr/>
          <w:p>
            <w:pPr>
              <w:pStyle w:val="Compact"/>
              <w:jc w:val="center"/>
            </w:pPr>
            <w:r>
              <w:rPr>
                <w:i/>
                <w:iCs/>
              </w:rPr>
              <w:t xml:space="preserve">0.00% ± 0.00%</w:t>
            </w:r>
          </w:p>
        </w:tc>
        <w:tc>
          <w:tcPr/>
          <w:p>
            <w:pPr>
              <w:pStyle w:val="Compact"/>
              <w:jc w:val="center"/>
            </w:pPr>
            <w:r>
              <w:rPr>
                <w:i/>
                <w:iCs/>
              </w:rPr>
              <w:t xml:space="preserve">0.4241 ± 0.0019</w:t>
            </w:r>
          </w:p>
        </w:tc>
        <w:tc>
          <w:tcPr/>
          <w:p>
            <w:pPr>
              <w:pStyle w:val="Compact"/>
              <w:jc w:val="center"/>
            </w:pPr>
            <w:r>
              <w:rPr>
                <w:i/>
                <w:iCs/>
              </w:rPr>
              <w:t xml:space="preserve">0.4750 ± 0.0002</w:t>
            </w:r>
          </w:p>
        </w:tc>
      </w:tr>
    </w:tbl>
    <w:p>
      <w:r>
        <w:pict>
          <v:rect style="width:0;height:1.5pt" o:hralign="center" o:hrstd="t" o:hr="t"/>
        </w:pict>
      </w:r>
    </w:p>
    <w:p>
      <w:pPr>
        <w:pStyle w:val="FirstParagraph"/>
      </w:pPr>
      <w:r>
        <w:rPr>
          <w:b/>
          <w:bCs/>
        </w:rPr>
        <w:t xml:space="preserve">Table 3: Five-seed link prediction benchmark on CIC-IDS2017 (Day 4 Test Transition: Day 3 to Day 4).</w:t>
      </w:r>
      <w:r>
        <w:br/>
      </w:r>
      <w:r>
        <w:rPr>
          <w:i/>
          <w:iCs/>
        </w:rPr>
        <w:t xml:space="preserve">Metrics report arithmetic mean and sample standard deviation across 5 independent random seed runs. The 95% confidence intervals (95% CI) quantify uncertainty in the 5-run mean under Student’s</w:t>
      </w:r>
      <w:r>
        <w:rPr>
          <w:i/>
          <w:iCs/>
        </w:rPr>
        <w:t xml:space="preserve"> </w:t>
      </w:r>
      <m:oMath>
        <m:r>
          <m:t>t</m:t>
        </m:r>
      </m:oMath>
      <w:r>
        <w:rPr>
          <w:i/>
          <w:iCs/>
        </w:rPr>
        <w:t xml:space="preserve"> </w:t>
      </w:r>
      <w:r>
        <w:rPr>
          <w:i/>
          <w:iCs/>
        </w:rPr>
        <w:t xml:space="preserve">with 4 degrees of freedom (</w:t>
      </w:r>
      <m:oMath>
        <m:sSub>
          <m:e>
            <m:r>
              <m:t>t</m:t>
            </m:r>
          </m:e>
          <m:sub>
            <m:r>
              <m:rPr>
                <m:nor/>
                <m:sty m:val="p"/>
              </m:rPr>
              <m:t>crit</m:t>
            </m:r>
          </m:sub>
        </m:sSub>
        <m:r>
          <m:rPr>
            <m:sty m:val="p"/>
          </m:rPr>
          <m:t>=</m:t>
        </m:r>
        <m:r>
          <m:t>2.776</m:t>
        </m:r>
      </m:oMath>
      <w:r>
        <w:rPr>
          <w:i/>
          <w:iCs/>
        </w:rPr>
        <w:t xml:space="preserve">), not temporal generalization across unobserved epochs. Ranking ROC-AUC and Average Precision (PR-AUC) are evaluated for continuous scoring predictors; discrete binary step predictors are marked</w:t>
      </w:r>
      <w:r>
        <w:rPr>
          <w:i/>
          <w:iCs/>
        </w:rPr>
        <w:t xml:space="preserve"> </w:t>
      </w:r>
      <w:r>
        <w:rPr>
          <w:rStyle w:val="VerbatimChar"/>
          <w:i/>
          <w:iCs/>
        </w:rPr>
        <w:t xml:space="preserve">N/A (Discrete)</w:t>
      </w:r>
      <w:r>
        <w:rPr>
          <w:i/>
          <w:iCs/>
        </w:rPr>
        <w:t xml:space="preserve">. Crucially, this daily test split evaluates exactly one chronological transition (Thursday to Friday); the five seeds measure candidate-sampling and parameter-initialization variability within this single transition, not independent temporal test periods.</w:t>
      </w:r>
    </w:p>
    <w:tbl>
      <w:tblPr>
        <w:tblStyle w:val="Table"/>
        <w:tblW w:type="pct" w:w="5000"/>
        <w:tblLayout w:type="fixed"/>
        <w:tblLook w:firstRow="1" w:lastRow="0" w:firstColumn="0" w:lastColumn="0" w:noHBand="0" w:noVBand="0" w:val="0020"/>
      </w:tblPr>
      <w:tblGrid>
        <w:gridCol w:w="812"/>
        <w:gridCol w:w="1015"/>
        <w:gridCol w:w="1015"/>
        <w:gridCol w:w="1015"/>
        <w:gridCol w:w="1015"/>
        <w:gridCol w:w="1015"/>
        <w:gridCol w:w="1015"/>
        <w:gridCol w:w="1015"/>
      </w:tblGrid>
      <w:tr>
        <w:trPr>
          <w:tblHeader w:val="on"/>
        </w:trPr>
        <w:tc>
          <w:tcPr/>
          <w:p>
            <w:pPr>
              <w:pStyle w:val="Compact"/>
              <w:jc w:val="left"/>
            </w:pPr>
            <w:r>
              <w:t xml:space="preserve">Model</w:t>
            </w:r>
          </w:p>
        </w:tc>
        <w:tc>
          <w:tcPr/>
          <w:p>
            <w:pPr>
              <w:pStyle w:val="Compact"/>
              <w:jc w:val="center"/>
            </w:pPr>
            <w:r>
              <w:t xml:space="preserve">Evaluation Setting</w:t>
            </w:r>
          </w:p>
        </w:tc>
        <w:tc>
          <w:tcPr/>
          <w:p>
            <w:pPr>
              <w:pStyle w:val="Compact"/>
              <w:jc w:val="center"/>
            </w:pPr>
            <w:r>
              <w:t xml:space="preserve">F1 (Mean ± Std)</w:t>
            </w:r>
          </w:p>
        </w:tc>
        <w:tc>
          <w:tcPr/>
          <w:p>
            <w:pPr>
              <w:pStyle w:val="Compact"/>
              <w:jc w:val="center"/>
            </w:pPr>
            <w:r>
              <w:t xml:space="preserve">F1 95% CI</w:t>
            </w:r>
          </w:p>
        </w:tc>
        <w:tc>
          <w:tcPr/>
          <w:p>
            <w:pPr>
              <w:pStyle w:val="Compact"/>
              <w:jc w:val="center"/>
            </w:pPr>
            <w:r>
              <w:t xml:space="preserve">Precision</w:t>
            </w:r>
          </w:p>
        </w:tc>
        <w:tc>
          <w:tcPr/>
          <w:p>
            <w:pPr>
              <w:pStyle w:val="Compact"/>
              <w:jc w:val="center"/>
            </w:pPr>
            <w:r>
              <w:t xml:space="preserve">Recall</w:t>
            </w:r>
          </w:p>
        </w:tc>
        <w:tc>
          <w:tcPr/>
          <w:p>
            <w:pPr>
              <w:pStyle w:val="Compact"/>
              <w:jc w:val="center"/>
            </w:pPr>
            <w:r>
              <w:t xml:space="preserve">ROC-AUC</w:t>
            </w:r>
          </w:p>
        </w:tc>
        <w:tc>
          <w:tcPr/>
          <w:p>
            <w:pPr>
              <w:pStyle w:val="Compact"/>
              <w:jc w:val="center"/>
            </w:pPr>
            <w:r>
              <w:t xml:space="preserve">Average Precision</w:t>
            </w:r>
          </w:p>
        </w:tc>
      </w:tr>
      <w:tr>
        <w:tc>
          <w:tcPr/>
          <w:p>
            <w:pPr>
              <w:pStyle w:val="Compact"/>
              <w:jc w:val="left"/>
            </w:pPr>
            <w:r>
              <w:rPr>
                <w:b/>
                <w:bCs/>
              </w:rPr>
              <w:t xml:space="preserve">Common Neighbors (directed)</w:t>
            </w:r>
          </w:p>
        </w:tc>
        <w:tc>
          <w:tcPr/>
          <w:p>
            <w:pPr>
              <w:pStyle w:val="Compact"/>
              <w:jc w:val="center"/>
            </w:pPr>
            <w:r>
              <w:rPr>
                <w:b/>
                <w:bCs/>
              </w:rPr>
              <w:t xml:space="preserve">Setting A (Hard)</w:t>
            </w:r>
          </w:p>
        </w:tc>
        <w:tc>
          <w:tcPr/>
          <w:p>
            <w:pPr>
              <w:pStyle w:val="Compact"/>
              <w:jc w:val="center"/>
            </w:pPr>
            <w:r>
              <w:rPr>
                <w:b/>
                <w:bCs/>
              </w:rPr>
              <w:t xml:space="preserve">45.24% ± 0.24%</w:t>
            </w:r>
          </w:p>
        </w:tc>
        <w:tc>
          <w:tcPr/>
          <w:p>
            <w:pPr>
              <w:pStyle w:val="Compact"/>
              <w:jc w:val="center"/>
            </w:pPr>
            <w:r>
              <w:rPr>
                <w:b/>
                <w:bCs/>
              </w:rPr>
              <w:t xml:space="preserve">±0.29%</w:t>
            </w:r>
          </w:p>
        </w:tc>
        <w:tc>
          <w:tcPr/>
          <w:p>
            <w:pPr>
              <w:pStyle w:val="Compact"/>
              <w:jc w:val="center"/>
            </w:pPr>
            <w:r>
              <w:rPr>
                <w:b/>
                <w:bCs/>
              </w:rPr>
              <w:t xml:space="preserve">62.97% ± 0.91%</w:t>
            </w:r>
          </w:p>
        </w:tc>
        <w:tc>
          <w:tcPr/>
          <w:p>
            <w:pPr>
              <w:pStyle w:val="Compact"/>
              <w:jc w:val="center"/>
            </w:pPr>
            <w:r>
              <w:t xml:space="preserve">35.30% ± 0.00%</w:t>
            </w:r>
          </w:p>
        </w:tc>
        <w:tc>
          <w:tcPr/>
          <w:p>
            <w:pPr>
              <w:pStyle w:val="Compact"/>
              <w:jc w:val="center"/>
            </w:pPr>
            <w:r>
              <w:t xml:space="preserve">0.5746 ± 0.0045</w:t>
            </w:r>
          </w:p>
        </w:tc>
        <w:tc>
          <w:tcPr/>
          <w:p>
            <w:pPr>
              <w:pStyle w:val="Compact"/>
              <w:jc w:val="center"/>
            </w:pPr>
            <w:r>
              <w:t xml:space="preserve">0.5495 ± 0.0056</w:t>
            </w:r>
          </w:p>
        </w:tc>
      </w:tr>
      <w:tr>
        <w:tc>
          <w:tcPr/>
          <w:p>
            <w:pPr>
              <w:pStyle w:val="Compact"/>
              <w:jc w:val="left"/>
            </w:pPr>
            <w:r>
              <w:rPr>
                <w:b/>
                <w:bCs/>
              </w:rPr>
              <w:t xml:space="preserve">EdgeBank-∞ (binary)</w:t>
            </w:r>
          </w:p>
        </w:tc>
        <w:tc>
          <w:tcPr/>
          <w:p>
            <w:pPr>
              <w:pStyle w:val="Compact"/>
              <w:jc w:val="center"/>
            </w:pPr>
            <w:r>
              <w:rPr>
                <w:b/>
                <w:bCs/>
              </w:rPr>
              <w:t xml:space="preserve">Setting A (Hard)</w:t>
            </w:r>
          </w:p>
        </w:tc>
        <w:tc>
          <w:tcPr/>
          <w:p>
            <w:pPr>
              <w:pStyle w:val="Compact"/>
              <w:jc w:val="center"/>
            </w:pPr>
            <w:r>
              <w:t xml:space="preserve">41.58% ± 0.00%</w:t>
            </w:r>
          </w:p>
        </w:tc>
        <w:tc>
          <w:tcPr/>
          <w:p>
            <w:pPr>
              <w:pStyle w:val="Compact"/>
              <w:jc w:val="center"/>
            </w:pPr>
            <w:r>
              <w:t xml:space="preserve">±0.00%</w:t>
            </w:r>
          </w:p>
        </w:tc>
        <w:tc>
          <w:tcPr/>
          <w:p>
            <w:pPr>
              <w:pStyle w:val="Compact"/>
              <w:jc w:val="center"/>
            </w:pPr>
            <w:r>
              <w:t xml:space="preserve">34.43% ± 0.00%</w:t>
            </w:r>
          </w:p>
        </w:tc>
        <w:tc>
          <w:tcPr/>
          <w:p>
            <w:pPr>
              <w:pStyle w:val="Compact"/>
              <w:jc w:val="center"/>
            </w:pPr>
            <w:r>
              <w:t xml:space="preserve">52.50% ± 0.00%</w:t>
            </w:r>
          </w:p>
        </w:tc>
        <w:tc>
          <w:tcPr/>
          <w:p>
            <w:pPr>
              <w:pStyle w:val="Compact"/>
              <w:jc w:val="center"/>
            </w:pPr>
            <w:r>
              <w:rPr>
                <w:i/>
                <w:iCs/>
              </w:rPr>
              <w:t xml:space="preserve">N/A (Discrete)</w:t>
            </w:r>
          </w:p>
        </w:tc>
        <w:tc>
          <w:tcPr/>
          <w:p>
            <w:pPr>
              <w:pStyle w:val="Compact"/>
              <w:jc w:val="center"/>
            </w:pPr>
            <w:r>
              <w:rPr>
                <w:i/>
                <w:iCs/>
              </w:rPr>
              <w:t xml:space="preserve">N/A (Discrete)</w:t>
            </w:r>
          </w:p>
        </w:tc>
      </w:tr>
      <w:tr>
        <w:tc>
          <w:tcPr/>
          <w:p>
            <w:pPr>
              <w:pStyle w:val="Compact"/>
              <w:jc w:val="left"/>
            </w:pPr>
            <w:r>
              <w:rPr>
                <w:b/>
                <w:bCs/>
              </w:rPr>
              <w:t xml:space="preserve">EdgeBank-tw (</w:t>
            </w:r>
            <m:oMath>
              <m:r>
                <m:t>W</m:t>
              </m:r>
              <m:r>
                <m:rPr>
                  <m:sty m:val="p"/>
                </m:rPr>
                <m:t>=</m:t>
              </m:r>
              <m:r>
                <m:t>2</m:t>
              </m:r>
            </m:oMath>
            <w:r>
              <w:rPr>
                <w:b/>
                <w:bCs/>
              </w:rPr>
              <w:t xml:space="preserve">, binary)</w:t>
            </w:r>
          </w:p>
        </w:tc>
        <w:tc>
          <w:tcPr/>
          <w:p>
            <w:pPr>
              <w:pStyle w:val="Compact"/>
              <w:jc w:val="center"/>
            </w:pPr>
            <w:r>
              <w:rPr>
                <w:b/>
                <w:bCs/>
              </w:rPr>
              <w:t xml:space="preserve">Setting A (Hard)</w:t>
            </w:r>
          </w:p>
        </w:tc>
        <w:tc>
          <w:tcPr/>
          <w:p>
            <w:pPr>
              <w:pStyle w:val="Compact"/>
              <w:jc w:val="center"/>
            </w:pPr>
            <w:r>
              <w:t xml:space="preserve">40.40% ± 0.21%</w:t>
            </w:r>
          </w:p>
        </w:tc>
        <w:tc>
          <w:tcPr/>
          <w:p>
            <w:pPr>
              <w:pStyle w:val="Compact"/>
              <w:jc w:val="center"/>
            </w:pPr>
            <w:r>
              <w:t xml:space="preserve">±0.25%</w:t>
            </w:r>
          </w:p>
        </w:tc>
        <w:tc>
          <w:tcPr/>
          <w:p>
            <w:pPr>
              <w:pStyle w:val="Compact"/>
              <w:jc w:val="center"/>
            </w:pPr>
            <w:r>
              <w:t xml:space="preserve">41.62% ± 0.43%</w:t>
            </w:r>
          </w:p>
        </w:tc>
        <w:tc>
          <w:tcPr/>
          <w:p>
            <w:pPr>
              <w:pStyle w:val="Compact"/>
              <w:jc w:val="center"/>
            </w:pPr>
            <w:r>
              <w:t xml:space="preserve">39.25% ± 0.00%</w:t>
            </w:r>
          </w:p>
        </w:tc>
        <w:tc>
          <w:tcPr/>
          <w:p>
            <w:pPr>
              <w:pStyle w:val="Compact"/>
              <w:jc w:val="center"/>
            </w:pPr>
            <w:r>
              <w:rPr>
                <w:i/>
                <w:iCs/>
              </w:rPr>
              <w:t xml:space="preserve">N/A (Discrete)</w:t>
            </w:r>
          </w:p>
        </w:tc>
        <w:tc>
          <w:tcPr/>
          <w:p>
            <w:pPr>
              <w:pStyle w:val="Compact"/>
              <w:jc w:val="center"/>
            </w:pPr>
            <w:r>
              <w:rPr>
                <w:i/>
                <w:iCs/>
              </w:rPr>
              <w:t xml:space="preserve">N/A (Discrete)</w:t>
            </w:r>
          </w:p>
        </w:tc>
      </w:tr>
      <w:tr>
        <w:tc>
          <w:tcPr/>
          <w:p>
            <w:pPr>
              <w:pStyle w:val="Compact"/>
              <w:jc w:val="left"/>
            </w:pPr>
            <w:r>
              <w:rPr>
                <w:b/>
                <w:bCs/>
              </w:rPr>
              <w:t xml:space="preserve">EdgeBank-∞ (frequency)</w:t>
            </w:r>
          </w:p>
        </w:tc>
        <w:tc>
          <w:tcPr/>
          <w:p>
            <w:pPr>
              <w:pStyle w:val="Compact"/>
              <w:jc w:val="center"/>
            </w:pPr>
            <w:r>
              <w:rPr>
                <w:b/>
                <w:bCs/>
              </w:rPr>
              <w:t xml:space="preserve">Setting A (Hard)</w:t>
            </w:r>
          </w:p>
        </w:tc>
        <w:tc>
          <w:tcPr/>
          <w:p>
            <w:pPr>
              <w:pStyle w:val="Compact"/>
              <w:jc w:val="center"/>
            </w:pPr>
            <w:r>
              <w:t xml:space="preserve">37.46% ± 0.16%</w:t>
            </w:r>
          </w:p>
        </w:tc>
        <w:tc>
          <w:tcPr/>
          <w:p>
            <w:pPr>
              <w:pStyle w:val="Compact"/>
              <w:jc w:val="center"/>
            </w:pPr>
            <w:r>
              <w:t xml:space="preserve">±0.20%</w:t>
            </w:r>
          </w:p>
        </w:tc>
        <w:tc>
          <w:tcPr/>
          <w:p>
            <w:pPr>
              <w:pStyle w:val="Compact"/>
              <w:jc w:val="center"/>
            </w:pPr>
            <w:r>
              <w:t xml:space="preserve">58.51% ± 0.78%</w:t>
            </w:r>
          </w:p>
        </w:tc>
        <w:tc>
          <w:tcPr/>
          <w:p>
            <w:pPr>
              <w:pStyle w:val="Compact"/>
              <w:jc w:val="center"/>
            </w:pPr>
            <w:r>
              <w:t xml:space="preserve">27.55% ± 0.00%</w:t>
            </w:r>
          </w:p>
        </w:tc>
        <w:tc>
          <w:tcPr/>
          <w:p>
            <w:pPr>
              <w:pStyle w:val="Compact"/>
              <w:jc w:val="center"/>
            </w:pPr>
            <w:r>
              <w:t xml:space="preserve">0.3575 ± 0.0011</w:t>
            </w:r>
          </w:p>
        </w:tc>
        <w:tc>
          <w:tcPr/>
          <w:p>
            <w:pPr>
              <w:pStyle w:val="Compact"/>
              <w:jc w:val="center"/>
            </w:pPr>
            <w:r>
              <w:t xml:space="preserve">0.5141 ± 0.0019</w:t>
            </w:r>
          </w:p>
        </w:tc>
      </w:tr>
      <w:tr>
        <w:tc>
          <w:tcPr/>
          <w:p>
            <w:pPr>
              <w:pStyle w:val="Compact"/>
              <w:jc w:val="left"/>
            </w:pPr>
            <w:r>
              <w:rPr>
                <w:b/>
                <w:bCs/>
              </w:rPr>
              <w:t xml:space="preserve">EvolveGCN-H</w:t>
            </w:r>
          </w:p>
        </w:tc>
        <w:tc>
          <w:tcPr/>
          <w:p>
            <w:pPr>
              <w:pStyle w:val="Compact"/>
              <w:jc w:val="center"/>
            </w:pPr>
            <w:r>
              <w:rPr>
                <w:b/>
                <w:bCs/>
              </w:rPr>
              <w:t xml:space="preserve">Setting A (Hard)</w:t>
            </w:r>
          </w:p>
        </w:tc>
        <w:tc>
          <w:tcPr/>
          <w:p>
            <w:pPr>
              <w:pStyle w:val="Compact"/>
              <w:jc w:val="center"/>
            </w:pPr>
            <w:r>
              <w:t xml:space="preserve">36.63% ± 28.69%</w:t>
            </w:r>
          </w:p>
        </w:tc>
        <w:tc>
          <w:tcPr/>
          <w:p>
            <w:pPr>
              <w:pStyle w:val="Compact"/>
              <w:jc w:val="center"/>
            </w:pPr>
            <w:r>
              <w:t xml:space="preserve">±35.61%</w:t>
            </w:r>
          </w:p>
        </w:tc>
        <w:tc>
          <w:tcPr/>
          <w:p>
            <w:pPr>
              <w:pStyle w:val="Compact"/>
              <w:jc w:val="center"/>
            </w:pPr>
            <w:r>
              <w:t xml:space="preserve">45.02% ± 28.08%</w:t>
            </w:r>
          </w:p>
        </w:tc>
        <w:tc>
          <w:tcPr/>
          <w:p>
            <w:pPr>
              <w:pStyle w:val="Compact"/>
              <w:jc w:val="center"/>
            </w:pPr>
            <w:r>
              <w:t xml:space="preserve">35.74% ± 37.33%</w:t>
            </w:r>
          </w:p>
        </w:tc>
        <w:tc>
          <w:tcPr/>
          <w:p>
            <w:pPr>
              <w:pStyle w:val="Compact"/>
              <w:jc w:val="center"/>
            </w:pPr>
            <w:r>
              <w:t xml:space="preserve">0.5602 ± 0.2137</w:t>
            </w:r>
          </w:p>
        </w:tc>
        <w:tc>
          <w:tcPr/>
          <w:p>
            <w:pPr>
              <w:pStyle w:val="Compact"/>
              <w:jc w:val="center"/>
            </w:pPr>
            <w:r>
              <w:t xml:space="preserve">0.5381 ± 0.1388</w:t>
            </w:r>
          </w:p>
        </w:tc>
      </w:tr>
      <w:tr>
        <w:tc>
          <w:tcPr/>
          <w:p>
            <w:pPr>
              <w:pStyle w:val="Compact"/>
              <w:jc w:val="left"/>
            </w:pPr>
            <w:r>
              <w:rPr>
                <w:b/>
                <w:bCs/>
              </w:rPr>
              <w:t xml:space="preserve">Persistence</w:t>
            </w:r>
          </w:p>
        </w:tc>
        <w:tc>
          <w:tcPr/>
          <w:p>
            <w:pPr>
              <w:pStyle w:val="Compact"/>
              <w:jc w:val="center"/>
            </w:pPr>
            <w:r>
              <w:rPr>
                <w:b/>
                <w:bCs/>
              </w:rPr>
              <w:t xml:space="preserve">Setting A (Hard)</w:t>
            </w:r>
          </w:p>
        </w:tc>
        <w:tc>
          <w:tcPr/>
          <w:p>
            <w:pPr>
              <w:pStyle w:val="Compact"/>
              <w:jc w:val="center"/>
            </w:pPr>
            <w:r>
              <w:t xml:space="preserve">35.22% ± 0.22%</w:t>
            </w:r>
          </w:p>
        </w:tc>
        <w:tc>
          <w:tcPr/>
          <w:p>
            <w:pPr>
              <w:pStyle w:val="Compact"/>
              <w:jc w:val="center"/>
            </w:pPr>
            <w:r>
              <w:t xml:space="preserve">±0.28%</w:t>
            </w:r>
          </w:p>
        </w:tc>
        <w:tc>
          <w:tcPr/>
          <w:p>
            <w:pPr>
              <w:pStyle w:val="Compact"/>
              <w:jc w:val="center"/>
            </w:pPr>
            <w:r>
              <w:t xml:space="preserve">48.50% ± 0.84%</w:t>
            </w:r>
          </w:p>
        </w:tc>
        <w:tc>
          <w:tcPr/>
          <w:p>
            <w:pPr>
              <w:pStyle w:val="Compact"/>
              <w:jc w:val="center"/>
            </w:pPr>
            <w:r>
              <w:t xml:space="preserve">27.65% ± 0.00%</w:t>
            </w:r>
          </w:p>
        </w:tc>
        <w:tc>
          <w:tcPr/>
          <w:p>
            <w:pPr>
              <w:pStyle w:val="Compact"/>
              <w:jc w:val="center"/>
            </w:pPr>
            <w:r>
              <w:rPr>
                <w:i/>
                <w:iCs/>
              </w:rPr>
              <w:t xml:space="preserve">N/A (Discrete)</w:t>
            </w:r>
          </w:p>
        </w:tc>
        <w:tc>
          <w:tcPr/>
          <w:p>
            <w:pPr>
              <w:pStyle w:val="Compact"/>
              <w:jc w:val="center"/>
            </w:pPr>
            <w:r>
              <w:rPr>
                <w:i/>
                <w:iCs/>
              </w:rPr>
              <w:t xml:space="preserve">N/A (Discrete)</w:t>
            </w:r>
          </w:p>
        </w:tc>
      </w:tr>
      <w:tr>
        <w:tc>
          <w:tcPr/>
          <w:p>
            <w:pPr>
              <w:pStyle w:val="Compact"/>
              <w:jc w:val="left"/>
            </w:pPr>
            <w:r>
              <w:t xml:space="preserve">Adamic-Adar (undirected)</w:t>
            </w:r>
          </w:p>
        </w:tc>
        <w:tc>
          <w:tcPr/>
          <w:p>
            <w:pPr>
              <w:pStyle w:val="Compact"/>
              <w:jc w:val="center"/>
            </w:pPr>
            <w:r>
              <w:t xml:space="preserve">Setting A (Hard)</w:t>
            </w:r>
          </w:p>
        </w:tc>
        <w:tc>
          <w:tcPr/>
          <w:p>
            <w:pPr>
              <w:pStyle w:val="Compact"/>
              <w:jc w:val="center"/>
            </w:pPr>
            <w:r>
              <w:t xml:space="preserve">1.88% ± 0.00%</w:t>
            </w:r>
          </w:p>
        </w:tc>
        <w:tc>
          <w:tcPr/>
          <w:p>
            <w:pPr>
              <w:pStyle w:val="Compact"/>
              <w:jc w:val="center"/>
            </w:pPr>
            <w:r>
              <w:t xml:space="preserve">±0.00%</w:t>
            </w:r>
          </w:p>
        </w:tc>
        <w:tc>
          <w:tcPr/>
          <w:p>
            <w:pPr>
              <w:pStyle w:val="Compact"/>
              <w:jc w:val="center"/>
            </w:pPr>
            <w:r>
              <w:t xml:space="preserve">72.26% ± 8.63%</w:t>
            </w:r>
          </w:p>
        </w:tc>
        <w:tc>
          <w:tcPr/>
          <w:p>
            <w:pPr>
              <w:pStyle w:val="Compact"/>
              <w:jc w:val="center"/>
            </w:pPr>
            <w:r>
              <w:t xml:space="preserve">0.95% ± 0.00%</w:t>
            </w:r>
          </w:p>
        </w:tc>
        <w:tc>
          <w:tcPr/>
          <w:p>
            <w:pPr>
              <w:pStyle w:val="Compact"/>
              <w:jc w:val="center"/>
            </w:pPr>
            <w:r>
              <w:t xml:space="preserve">0.5909 ± 0.0059</w:t>
            </w:r>
          </w:p>
        </w:tc>
        <w:tc>
          <w:tcPr/>
          <w:p>
            <w:pPr>
              <w:pStyle w:val="Compact"/>
              <w:jc w:val="center"/>
            </w:pPr>
            <w:r>
              <w:t xml:space="preserve">0.5680 ± 0.0083</w:t>
            </w:r>
          </w:p>
        </w:tc>
      </w:tr>
      <w:tr>
        <w:tc>
          <w:tcPr/>
          <w:p>
            <w:pPr>
              <w:pStyle w:val="Compact"/>
              <w:jc w:val="left"/>
            </w:pPr>
            <w:r>
              <w:t xml:space="preserve">Jaccard Coefficient (undirected)</w:t>
            </w:r>
          </w:p>
        </w:tc>
        <w:tc>
          <w:tcPr/>
          <w:p>
            <w:pPr>
              <w:pStyle w:val="Compact"/>
              <w:jc w:val="center"/>
            </w:pPr>
            <w:r>
              <w:t xml:space="preserve">Setting A (Hard)</w:t>
            </w:r>
          </w:p>
        </w:tc>
        <w:tc>
          <w:tcPr/>
          <w:p>
            <w:pPr>
              <w:pStyle w:val="Compact"/>
              <w:jc w:val="center"/>
            </w:pPr>
            <w:r>
              <w:t xml:space="preserve">0.00% ± 0.00%</w:t>
            </w:r>
          </w:p>
        </w:tc>
        <w:tc>
          <w:tcPr/>
          <w:p>
            <w:pPr>
              <w:pStyle w:val="Compact"/>
              <w:jc w:val="center"/>
            </w:pPr>
            <w:r>
              <w:t xml:space="preserve">±0.00%</w:t>
            </w:r>
          </w:p>
        </w:tc>
        <w:tc>
          <w:tcPr/>
          <w:p>
            <w:pPr>
              <w:pStyle w:val="Compact"/>
              <w:jc w:val="center"/>
            </w:pPr>
            <w:r>
              <w:t xml:space="preserve">0.00% ± 0.00%</w:t>
            </w:r>
          </w:p>
        </w:tc>
        <w:tc>
          <w:tcPr/>
          <w:p>
            <w:pPr>
              <w:pStyle w:val="Compact"/>
              <w:jc w:val="center"/>
            </w:pPr>
            <w:r>
              <w:t xml:space="preserve">0.00% ± 0.00%</w:t>
            </w:r>
          </w:p>
        </w:tc>
        <w:tc>
          <w:tcPr/>
          <w:p>
            <w:pPr>
              <w:pStyle w:val="Compact"/>
              <w:jc w:val="center"/>
            </w:pPr>
            <w:r>
              <w:t xml:space="preserve">0.5856 ± 0.0052</w:t>
            </w:r>
          </w:p>
        </w:tc>
        <w:tc>
          <w:tcPr/>
          <w:p>
            <w:pPr>
              <w:pStyle w:val="Compact"/>
              <w:jc w:val="center"/>
            </w:pPr>
            <w:r>
              <w:t xml:space="preserve">0.5583 ± 0.0073</w:t>
            </w:r>
          </w:p>
        </w:tc>
      </w:tr>
      <w:tr>
        <w:tc>
          <w:tcPr/>
          <w:p>
            <w:pPr>
              <w:pStyle w:val="Compact"/>
              <w:jc w:val="left"/>
            </w:pPr>
            <w:r>
              <w:rPr>
                <w:i/>
                <w:iCs/>
              </w:rPr>
              <w:t xml:space="preserve">EdgeBank-∞ (binary)</w:t>
            </w:r>
          </w:p>
        </w:tc>
        <w:tc>
          <w:tcPr/>
          <w:p>
            <w:pPr>
              <w:pStyle w:val="Compact"/>
              <w:jc w:val="center"/>
            </w:pPr>
            <w:r>
              <w:rPr>
                <w:i/>
                <w:iCs/>
              </w:rPr>
              <w:t xml:space="preserve">Setting B (Mixed)</w:t>
            </w:r>
          </w:p>
        </w:tc>
        <w:tc>
          <w:tcPr/>
          <w:p>
            <w:pPr>
              <w:pStyle w:val="Compact"/>
              <w:jc w:val="center"/>
            </w:pPr>
            <w:r>
              <w:rPr>
                <w:i/>
                <w:iCs/>
              </w:rPr>
              <w:t xml:space="preserve">68.82% ± 0.02%</w:t>
            </w:r>
          </w:p>
        </w:tc>
        <w:tc>
          <w:tcPr/>
          <w:p>
            <w:pPr>
              <w:pStyle w:val="Compact"/>
              <w:jc w:val="center"/>
            </w:pPr>
            <w:r>
              <w:rPr>
                <w:i/>
                <w:iCs/>
              </w:rPr>
              <w:t xml:space="preserve">±0.03%</w:t>
            </w:r>
          </w:p>
        </w:tc>
        <w:tc>
          <w:tcPr/>
          <w:p>
            <w:pPr>
              <w:pStyle w:val="Compact"/>
              <w:jc w:val="center"/>
            </w:pPr>
            <w:r>
              <w:rPr>
                <w:i/>
                <w:iCs/>
              </w:rPr>
              <w:t xml:space="preserve">99.87% ± 0.09%</w:t>
            </w:r>
          </w:p>
        </w:tc>
        <w:tc>
          <w:tcPr/>
          <w:p>
            <w:pPr>
              <w:pStyle w:val="Compact"/>
              <w:jc w:val="center"/>
            </w:pPr>
            <w:r>
              <w:rPr>
                <w:i/>
                <w:iCs/>
              </w:rPr>
              <w:t xml:space="preserve">52.50% ± 0.00%</w:t>
            </w:r>
          </w:p>
        </w:tc>
        <w:tc>
          <w:tcPr/>
          <w:p>
            <w:pPr>
              <w:pStyle w:val="Compact"/>
              <w:jc w:val="center"/>
            </w:pPr>
            <w:r>
              <w:rPr>
                <w:i/>
                <w:iCs/>
              </w:rPr>
              <w:t xml:space="preserve">N/A (Discrete)</w:t>
            </w:r>
          </w:p>
        </w:tc>
        <w:tc>
          <w:tcPr/>
          <w:p>
            <w:pPr>
              <w:pStyle w:val="Compact"/>
              <w:jc w:val="center"/>
            </w:pPr>
            <w:r>
              <w:rPr>
                <w:i/>
                <w:iCs/>
              </w:rPr>
              <w:t xml:space="preserve">N/A (Discrete)</w:t>
            </w:r>
          </w:p>
        </w:tc>
      </w:tr>
      <w:tr>
        <w:tc>
          <w:tcPr/>
          <w:p>
            <w:pPr>
              <w:pStyle w:val="Compact"/>
              <w:jc w:val="left"/>
            </w:pPr>
            <w:r>
              <w:rPr>
                <w:i/>
                <w:iCs/>
              </w:rPr>
              <w:t xml:space="preserve">EdgeBank-tw (</w:t>
            </w:r>
            <m:oMath>
              <m:r>
                <m:t>W</m:t>
              </m:r>
              <m:r>
                <m:rPr>
                  <m:sty m:val="p"/>
                </m:rPr>
                <m:t>=</m:t>
              </m:r>
              <m:r>
                <m:t>2</m:t>
              </m:r>
            </m:oMath>
            <w:r>
              <w:rPr>
                <w:i/>
                <w:iCs/>
              </w:rPr>
              <w:t xml:space="preserve">, binary)</w:t>
            </w:r>
          </w:p>
        </w:tc>
        <w:tc>
          <w:tcPr/>
          <w:p>
            <w:pPr>
              <w:pStyle w:val="Compact"/>
              <w:jc w:val="center"/>
            </w:pPr>
            <w:r>
              <w:rPr>
                <w:i/>
                <w:iCs/>
              </w:rPr>
              <w:t xml:space="preserve">Setting B (Mixed)</w:t>
            </w:r>
          </w:p>
        </w:tc>
        <w:tc>
          <w:tcPr/>
          <w:p>
            <w:pPr>
              <w:pStyle w:val="Compact"/>
              <w:jc w:val="center"/>
            </w:pPr>
            <w:r>
              <w:rPr>
                <w:i/>
                <w:iCs/>
              </w:rPr>
              <w:t xml:space="preserve">56.36% ± 0.02%</w:t>
            </w:r>
          </w:p>
        </w:tc>
        <w:tc>
          <w:tcPr/>
          <w:p>
            <w:pPr>
              <w:pStyle w:val="Compact"/>
              <w:jc w:val="center"/>
            </w:pPr>
            <w:r>
              <w:rPr>
                <w:i/>
                <w:iCs/>
              </w:rPr>
              <w:t xml:space="preserve">±0.02%</w:t>
            </w:r>
          </w:p>
        </w:tc>
        <w:tc>
          <w:tcPr/>
          <w:p>
            <w:pPr>
              <w:pStyle w:val="Compact"/>
              <w:jc w:val="center"/>
            </w:pPr>
            <w:r>
              <w:rPr>
                <w:i/>
                <w:iCs/>
              </w:rPr>
              <w:t xml:space="preserve">99.90% ± 0.11%</w:t>
            </w:r>
          </w:p>
        </w:tc>
        <w:tc>
          <w:tcPr/>
          <w:p>
            <w:pPr>
              <w:pStyle w:val="Compact"/>
              <w:jc w:val="center"/>
            </w:pPr>
            <w:r>
              <w:rPr>
                <w:i/>
                <w:iCs/>
              </w:rPr>
              <w:t xml:space="preserve">39.25% ± 0.00%</w:t>
            </w:r>
          </w:p>
        </w:tc>
        <w:tc>
          <w:tcPr/>
          <w:p>
            <w:pPr>
              <w:pStyle w:val="Compact"/>
              <w:jc w:val="center"/>
            </w:pPr>
            <w:r>
              <w:rPr>
                <w:i/>
                <w:iCs/>
              </w:rPr>
              <w:t xml:space="preserve">N/A (Discrete)</w:t>
            </w:r>
          </w:p>
        </w:tc>
        <w:tc>
          <w:tcPr/>
          <w:p>
            <w:pPr>
              <w:pStyle w:val="Compact"/>
              <w:jc w:val="center"/>
            </w:pPr>
            <w:r>
              <w:rPr>
                <w:i/>
                <w:iCs/>
              </w:rPr>
              <w:t xml:space="preserve">N/A (Discrete)</w:t>
            </w:r>
          </w:p>
        </w:tc>
      </w:tr>
      <w:tr>
        <w:tc>
          <w:tcPr/>
          <w:p>
            <w:pPr>
              <w:pStyle w:val="Compact"/>
              <w:jc w:val="left"/>
            </w:pPr>
            <w:r>
              <w:rPr>
                <w:i/>
                <w:iCs/>
              </w:rPr>
              <w:t xml:space="preserve">Common Neighbors (directed)</w:t>
            </w:r>
          </w:p>
        </w:tc>
        <w:tc>
          <w:tcPr/>
          <w:p>
            <w:pPr>
              <w:pStyle w:val="Compact"/>
              <w:jc w:val="center"/>
            </w:pPr>
            <w:r>
              <w:rPr>
                <w:i/>
                <w:iCs/>
              </w:rPr>
              <w:t xml:space="preserve">Setting B (Mixed)</w:t>
            </w:r>
          </w:p>
        </w:tc>
        <w:tc>
          <w:tcPr/>
          <w:p>
            <w:pPr>
              <w:pStyle w:val="Compact"/>
              <w:jc w:val="center"/>
            </w:pPr>
            <w:r>
              <w:rPr>
                <w:i/>
                <w:iCs/>
              </w:rPr>
              <w:t xml:space="preserve">43.37% ± 0.29%</w:t>
            </w:r>
          </w:p>
        </w:tc>
        <w:tc>
          <w:tcPr/>
          <w:p>
            <w:pPr>
              <w:pStyle w:val="Compact"/>
              <w:jc w:val="center"/>
            </w:pPr>
            <w:r>
              <w:rPr>
                <w:i/>
                <w:iCs/>
              </w:rPr>
              <w:t xml:space="preserve">±0.36%</w:t>
            </w:r>
          </w:p>
        </w:tc>
        <w:tc>
          <w:tcPr/>
          <w:p>
            <w:pPr>
              <w:pStyle w:val="Compact"/>
              <w:jc w:val="center"/>
            </w:pPr>
            <w:r>
              <w:rPr>
                <w:i/>
                <w:iCs/>
              </w:rPr>
              <w:t xml:space="preserve">56.23% ± 0.96%</w:t>
            </w:r>
          </w:p>
        </w:tc>
        <w:tc>
          <w:tcPr/>
          <w:p>
            <w:pPr>
              <w:pStyle w:val="Compact"/>
              <w:jc w:val="center"/>
            </w:pPr>
            <w:r>
              <w:rPr>
                <w:i/>
                <w:iCs/>
              </w:rPr>
              <w:t xml:space="preserve">35.30% ± 0.00%</w:t>
            </w:r>
          </w:p>
        </w:tc>
        <w:tc>
          <w:tcPr/>
          <w:p>
            <w:pPr>
              <w:pStyle w:val="Compact"/>
              <w:jc w:val="center"/>
            </w:pPr>
            <w:r>
              <w:rPr>
                <w:i/>
                <w:iCs/>
              </w:rPr>
              <w:t xml:space="preserve">0.5435 ± 0.0053</w:t>
            </w:r>
          </w:p>
        </w:tc>
        <w:tc>
          <w:tcPr/>
          <w:p>
            <w:pPr>
              <w:pStyle w:val="Compact"/>
              <w:jc w:val="center"/>
            </w:pPr>
            <w:r>
              <w:rPr>
                <w:i/>
                <w:iCs/>
              </w:rPr>
              <w:t xml:space="preserve">0.5343 ± 0.0040</w:t>
            </w:r>
          </w:p>
        </w:tc>
      </w:tr>
      <w:tr>
        <w:tc>
          <w:tcPr/>
          <w:p>
            <w:pPr>
              <w:pStyle w:val="Compact"/>
              <w:jc w:val="left"/>
            </w:pPr>
            <w:r>
              <w:rPr>
                <w:i/>
                <w:iCs/>
              </w:rPr>
              <w:t xml:space="preserve">Persistence</w:t>
            </w:r>
          </w:p>
        </w:tc>
        <w:tc>
          <w:tcPr/>
          <w:p>
            <w:pPr>
              <w:pStyle w:val="Compact"/>
              <w:jc w:val="center"/>
            </w:pPr>
            <w:r>
              <w:rPr>
                <w:i/>
                <w:iCs/>
              </w:rPr>
              <w:t xml:space="preserve">Setting B (Mixed)</w:t>
            </w:r>
          </w:p>
        </w:tc>
        <w:tc>
          <w:tcPr/>
          <w:p>
            <w:pPr>
              <w:pStyle w:val="Compact"/>
              <w:jc w:val="center"/>
            </w:pPr>
            <w:r>
              <w:rPr>
                <w:i/>
                <w:iCs/>
              </w:rPr>
              <w:t xml:space="preserve">43.31% ± 0.01%</w:t>
            </w:r>
          </w:p>
        </w:tc>
        <w:tc>
          <w:tcPr/>
          <w:p>
            <w:pPr>
              <w:pStyle w:val="Compact"/>
              <w:jc w:val="center"/>
            </w:pPr>
            <w:r>
              <w:rPr>
                <w:i/>
                <w:iCs/>
              </w:rPr>
              <w:t xml:space="preserve">±0.01%</w:t>
            </w:r>
          </w:p>
        </w:tc>
        <w:tc>
          <w:tcPr/>
          <w:p>
            <w:pPr>
              <w:pStyle w:val="Compact"/>
              <w:jc w:val="center"/>
            </w:pPr>
            <w:r>
              <w:rPr>
                <w:i/>
                <w:iCs/>
              </w:rPr>
              <w:t xml:space="preserve">99.93% ± 0.10%</w:t>
            </w:r>
          </w:p>
        </w:tc>
        <w:tc>
          <w:tcPr/>
          <w:p>
            <w:pPr>
              <w:pStyle w:val="Compact"/>
              <w:jc w:val="center"/>
            </w:pPr>
            <w:r>
              <w:rPr>
                <w:i/>
                <w:iCs/>
              </w:rPr>
              <w:t xml:space="preserve">27.65% ± 0.00%</w:t>
            </w:r>
          </w:p>
        </w:tc>
        <w:tc>
          <w:tcPr/>
          <w:p>
            <w:pPr>
              <w:pStyle w:val="Compact"/>
              <w:jc w:val="center"/>
            </w:pPr>
            <w:r>
              <w:rPr>
                <w:i/>
                <w:iCs/>
              </w:rPr>
              <w:t xml:space="preserve">N/A (Discrete)</w:t>
            </w:r>
          </w:p>
        </w:tc>
        <w:tc>
          <w:tcPr/>
          <w:p>
            <w:pPr>
              <w:pStyle w:val="Compact"/>
              <w:jc w:val="center"/>
            </w:pPr>
            <w:r>
              <w:rPr>
                <w:i/>
                <w:iCs/>
              </w:rPr>
              <w:t xml:space="preserve">N/A (Discrete)</w:t>
            </w:r>
          </w:p>
        </w:tc>
      </w:tr>
      <w:tr>
        <w:tc>
          <w:tcPr/>
          <w:p>
            <w:pPr>
              <w:pStyle w:val="Compact"/>
              <w:jc w:val="left"/>
            </w:pPr>
            <w:r>
              <w:rPr>
                <w:i/>
                <w:iCs/>
              </w:rPr>
              <w:t xml:space="preserve">EdgeBank-∞ (frequency)</w:t>
            </w:r>
          </w:p>
        </w:tc>
        <w:tc>
          <w:tcPr/>
          <w:p>
            <w:pPr>
              <w:pStyle w:val="Compact"/>
              <w:jc w:val="center"/>
            </w:pPr>
            <w:r>
              <w:rPr>
                <w:i/>
                <w:iCs/>
              </w:rPr>
              <w:t xml:space="preserve">Setting B (Mixed)</w:t>
            </w:r>
          </w:p>
        </w:tc>
        <w:tc>
          <w:tcPr/>
          <w:p>
            <w:pPr>
              <w:pStyle w:val="Compact"/>
              <w:jc w:val="center"/>
            </w:pPr>
            <w:r>
              <w:rPr>
                <w:i/>
                <w:iCs/>
              </w:rPr>
              <w:t xml:space="preserve">43.20% ± 0.01%</w:t>
            </w:r>
          </w:p>
        </w:tc>
        <w:tc>
          <w:tcPr/>
          <w:p>
            <w:pPr>
              <w:pStyle w:val="Compact"/>
              <w:jc w:val="center"/>
            </w:pPr>
            <w:r>
              <w:rPr>
                <w:i/>
                <w:iCs/>
              </w:rPr>
              <w:t xml:space="preserve">±0.01%</w:t>
            </w:r>
          </w:p>
        </w:tc>
        <w:tc>
          <w:tcPr/>
          <w:p>
            <w:pPr>
              <w:pStyle w:val="Compact"/>
              <w:jc w:val="center"/>
            </w:pPr>
            <w:r>
              <w:rPr>
                <w:i/>
                <w:iCs/>
              </w:rPr>
              <w:t xml:space="preserve">99.96% ± 0.08%</w:t>
            </w:r>
          </w:p>
        </w:tc>
        <w:tc>
          <w:tcPr/>
          <w:p>
            <w:pPr>
              <w:pStyle w:val="Compact"/>
              <w:jc w:val="center"/>
            </w:pPr>
            <w:r>
              <w:rPr>
                <w:i/>
                <w:iCs/>
              </w:rPr>
              <w:t xml:space="preserve">27.55% ± 0.00%</w:t>
            </w:r>
          </w:p>
        </w:tc>
        <w:tc>
          <w:tcPr/>
          <w:p>
            <w:pPr>
              <w:pStyle w:val="Compact"/>
              <w:jc w:val="center"/>
            </w:pPr>
            <w:r>
              <w:rPr>
                <w:i/>
                <w:iCs/>
              </w:rPr>
              <w:t xml:space="preserve">0.7622 ± 0.0002</w:t>
            </w:r>
          </w:p>
        </w:tc>
        <w:tc>
          <w:tcPr/>
          <w:p>
            <w:pPr>
              <w:pStyle w:val="Compact"/>
              <w:jc w:val="center"/>
            </w:pPr>
            <w:r>
              <w:rPr>
                <w:i/>
                <w:iCs/>
              </w:rPr>
              <w:t xml:space="preserve">0.7621 ± 0.0002</w:t>
            </w:r>
          </w:p>
        </w:tc>
      </w:tr>
      <w:tr>
        <w:tc>
          <w:tcPr/>
          <w:p>
            <w:pPr>
              <w:pStyle w:val="Compact"/>
              <w:jc w:val="left"/>
            </w:pPr>
            <w:r>
              <w:rPr>
                <w:i/>
                <w:iCs/>
              </w:rPr>
              <w:t xml:space="preserve">EvolveGCN-H</w:t>
            </w:r>
          </w:p>
        </w:tc>
        <w:tc>
          <w:tcPr/>
          <w:p>
            <w:pPr>
              <w:pStyle w:val="Compact"/>
              <w:jc w:val="center"/>
            </w:pPr>
            <w:r>
              <w:rPr>
                <w:i/>
                <w:iCs/>
              </w:rPr>
              <w:t xml:space="preserve">Setting B (Mixed)</w:t>
            </w:r>
          </w:p>
        </w:tc>
        <w:tc>
          <w:tcPr/>
          <w:p>
            <w:pPr>
              <w:pStyle w:val="Compact"/>
              <w:jc w:val="center"/>
            </w:pPr>
            <w:r>
              <w:rPr>
                <w:i/>
                <w:iCs/>
              </w:rPr>
              <w:t xml:space="preserve">40.93% ± 30.79%</w:t>
            </w:r>
          </w:p>
        </w:tc>
        <w:tc>
          <w:tcPr/>
          <w:p>
            <w:pPr>
              <w:pStyle w:val="Compact"/>
              <w:jc w:val="center"/>
            </w:pPr>
            <w:r>
              <w:rPr>
                <w:i/>
                <w:iCs/>
              </w:rPr>
              <w:t xml:space="preserve">±38.22%</w:t>
            </w:r>
          </w:p>
        </w:tc>
        <w:tc>
          <w:tcPr/>
          <w:p>
            <w:pPr>
              <w:pStyle w:val="Compact"/>
              <w:jc w:val="center"/>
            </w:pPr>
            <w:r>
              <w:rPr>
                <w:i/>
                <w:iCs/>
              </w:rPr>
              <w:t xml:space="preserve">62.76% ± 37.05%</w:t>
            </w:r>
          </w:p>
        </w:tc>
        <w:tc>
          <w:tcPr/>
          <w:p>
            <w:pPr>
              <w:pStyle w:val="Compact"/>
              <w:jc w:val="center"/>
            </w:pPr>
            <w:r>
              <w:rPr>
                <w:i/>
                <w:iCs/>
              </w:rPr>
              <w:t xml:space="preserve">35.74% ± 37.33%</w:t>
            </w:r>
          </w:p>
        </w:tc>
        <w:tc>
          <w:tcPr/>
          <w:p>
            <w:pPr>
              <w:pStyle w:val="Compact"/>
              <w:jc w:val="center"/>
            </w:pPr>
            <w:r>
              <w:rPr>
                <w:i/>
                <w:iCs/>
              </w:rPr>
              <w:t xml:space="preserve">0.7120 ± 0.2189</w:t>
            </w:r>
          </w:p>
        </w:tc>
        <w:tc>
          <w:tcPr/>
          <w:p>
            <w:pPr>
              <w:pStyle w:val="Compact"/>
              <w:jc w:val="center"/>
            </w:pPr>
            <w:r>
              <w:rPr>
                <w:i/>
                <w:iCs/>
              </w:rPr>
              <w:t xml:space="preserve">0.7152 ± 0.1888</w:t>
            </w:r>
          </w:p>
        </w:tc>
      </w:tr>
      <w:tr>
        <w:tc>
          <w:tcPr/>
          <w:p>
            <w:pPr>
              <w:pStyle w:val="Compact"/>
              <w:jc w:val="left"/>
            </w:pPr>
            <w:r>
              <w:rPr>
                <w:i/>
                <w:iCs/>
              </w:rPr>
              <w:t xml:space="preserve">Adamic-Adar (undirected)</w:t>
            </w:r>
          </w:p>
        </w:tc>
        <w:tc>
          <w:tcPr/>
          <w:p>
            <w:pPr>
              <w:pStyle w:val="Compact"/>
              <w:jc w:val="center"/>
            </w:pPr>
            <w:r>
              <w:rPr>
                <w:i/>
                <w:iCs/>
              </w:rPr>
              <w:t xml:space="preserve">Setting B (Mixed)</w:t>
            </w:r>
          </w:p>
        </w:tc>
        <w:tc>
          <w:tcPr/>
          <w:p>
            <w:pPr>
              <w:pStyle w:val="Compact"/>
              <w:jc w:val="center"/>
            </w:pPr>
            <w:r>
              <w:rPr>
                <w:i/>
                <w:iCs/>
              </w:rPr>
              <w:t xml:space="preserve">1.88% ± 0.00%</w:t>
            </w:r>
          </w:p>
        </w:tc>
        <w:tc>
          <w:tcPr/>
          <w:p>
            <w:pPr>
              <w:pStyle w:val="Compact"/>
              <w:jc w:val="center"/>
            </w:pPr>
            <w:r>
              <w:rPr>
                <w:i/>
                <w:iCs/>
              </w:rPr>
              <w:t xml:space="preserve">±0.00%</w:t>
            </w:r>
          </w:p>
        </w:tc>
        <w:tc>
          <w:tcPr/>
          <w:p>
            <w:pPr>
              <w:pStyle w:val="Compact"/>
              <w:jc w:val="center"/>
            </w:pPr>
            <w:r>
              <w:rPr>
                <w:i/>
                <w:iCs/>
              </w:rPr>
              <w:t xml:space="preserve">86.26% ± 8.19%</w:t>
            </w:r>
          </w:p>
        </w:tc>
        <w:tc>
          <w:tcPr/>
          <w:p>
            <w:pPr>
              <w:pStyle w:val="Compact"/>
              <w:jc w:val="center"/>
            </w:pPr>
            <w:r>
              <w:rPr>
                <w:i/>
                <w:iCs/>
              </w:rPr>
              <w:t xml:space="preserve">0.95% ± 0.00%</w:t>
            </w:r>
          </w:p>
        </w:tc>
        <w:tc>
          <w:tcPr/>
          <w:p>
            <w:pPr>
              <w:pStyle w:val="Compact"/>
              <w:jc w:val="center"/>
            </w:pPr>
            <w:r>
              <w:rPr>
                <w:i/>
                <w:iCs/>
              </w:rPr>
              <w:t xml:space="preserve">0.5604 ± 0.0057</w:t>
            </w:r>
          </w:p>
        </w:tc>
        <w:tc>
          <w:tcPr/>
          <w:p>
            <w:pPr>
              <w:pStyle w:val="Compact"/>
              <w:jc w:val="center"/>
            </w:pPr>
            <w:r>
              <w:rPr>
                <w:i/>
                <w:iCs/>
              </w:rPr>
              <w:t xml:space="preserve">0.5779 ± 0.0054</w:t>
            </w:r>
          </w:p>
        </w:tc>
      </w:tr>
      <w:tr>
        <w:tc>
          <w:tcPr/>
          <w:p>
            <w:pPr>
              <w:pStyle w:val="Compact"/>
              <w:jc w:val="left"/>
            </w:pPr>
            <w:r>
              <w:rPr>
                <w:i/>
                <w:iCs/>
              </w:rPr>
              <w:t xml:space="preserve">Jaccard Coefficient (undirected)</w:t>
            </w:r>
          </w:p>
        </w:tc>
        <w:tc>
          <w:tcPr/>
          <w:p>
            <w:pPr>
              <w:pStyle w:val="Compact"/>
              <w:jc w:val="center"/>
            </w:pPr>
            <w:r>
              <w:rPr>
                <w:i/>
                <w:iCs/>
              </w:rPr>
              <w:t xml:space="preserve">Setting B (Mixed)</w:t>
            </w:r>
          </w:p>
        </w:tc>
        <w:tc>
          <w:tcPr/>
          <w:p>
            <w:pPr>
              <w:pStyle w:val="Compact"/>
              <w:jc w:val="center"/>
            </w:pPr>
            <w:r>
              <w:rPr>
                <w:i/>
                <w:iCs/>
              </w:rPr>
              <w:t xml:space="preserve">0.00% ± 0.00%</w:t>
            </w:r>
          </w:p>
        </w:tc>
        <w:tc>
          <w:tcPr/>
          <w:p>
            <w:pPr>
              <w:pStyle w:val="Compact"/>
              <w:jc w:val="center"/>
            </w:pPr>
            <w:r>
              <w:rPr>
                <w:i/>
                <w:iCs/>
              </w:rPr>
              <w:t xml:space="preserve">±0.00%</w:t>
            </w:r>
          </w:p>
        </w:tc>
        <w:tc>
          <w:tcPr/>
          <w:p>
            <w:pPr>
              <w:pStyle w:val="Compact"/>
              <w:jc w:val="center"/>
            </w:pPr>
            <w:r>
              <w:rPr>
                <w:i/>
                <w:iCs/>
              </w:rPr>
              <w:t xml:space="preserve">0.00% ± 0.00%</w:t>
            </w:r>
          </w:p>
        </w:tc>
        <w:tc>
          <w:tcPr/>
          <w:p>
            <w:pPr>
              <w:pStyle w:val="Compact"/>
              <w:jc w:val="center"/>
            </w:pPr>
            <w:r>
              <w:rPr>
                <w:i/>
                <w:iCs/>
              </w:rPr>
              <w:t xml:space="preserve">0.00% ± 0.00%</w:t>
            </w:r>
          </w:p>
        </w:tc>
        <w:tc>
          <w:tcPr/>
          <w:p>
            <w:pPr>
              <w:pStyle w:val="Compact"/>
              <w:jc w:val="center"/>
            </w:pPr>
            <w:r>
              <w:rPr>
                <w:i/>
                <w:iCs/>
              </w:rPr>
              <w:t xml:space="preserve">0.4740 ± 0.0084</w:t>
            </w:r>
          </w:p>
        </w:tc>
        <w:tc>
          <w:tcPr/>
          <w:p>
            <w:pPr>
              <w:pStyle w:val="Compact"/>
              <w:jc w:val="center"/>
            </w:pPr>
            <w:r>
              <w:rPr>
                <w:i/>
                <w:iCs/>
              </w:rPr>
              <w:t xml:space="preserve">0.4397 ± 0.0030</w:t>
            </w:r>
          </w:p>
        </w:tc>
      </w:tr>
    </w:tbl>
    <w:p>
      <w:pPr>
        <w:pStyle w:val="BodyText"/>
      </w:pPr>
      <w:r>
        <w:t xml:space="preserve">Figure 6 visualizes the model comparison under Setting A (Hard Historical Negatives).</w:t>
      </w:r>
    </w:p>
    <w:p>
      <w:pPr>
        <w:pStyle w:val="BodyText"/>
      </w:pPr>
      <w:r>
        <w:drawing>
          <wp:inline>
            <wp:extent cx="5334000" cy="2285786"/>
            <wp:effectExtent b="0" l="0" r="0" t="0"/>
            <wp:docPr descr="Figure 6: Link Prediction Benchmark Performance under Setting A (Hard Historical Negatives)" title="" id="50" name="Picture"/>
            <a:graphic>
              <a:graphicData uri="http://schemas.openxmlformats.org/drawingml/2006/picture">
                <pic:pic>
                  <pic:nvPicPr>
                    <pic:cNvPr descr="../figures/fig06_benchmark_performance_setting_a.png" id="51" name="Picture"/>
                    <pic:cNvPicPr>
                      <a:picLocks noChangeArrowheads="1" noChangeAspect="1"/>
                    </pic:cNvPicPr>
                  </pic:nvPicPr>
                  <pic:blipFill>
                    <a:blip r:embed="rId49"/>
                    <a:stretch>
                      <a:fillRect/>
                    </a:stretch>
                  </pic:blipFill>
                  <pic:spPr bwMode="auto">
                    <a:xfrm>
                      <a:off x="0" y="0"/>
                      <a:ext cx="5334000" cy="2285786"/>
                    </a:xfrm>
                    <a:prstGeom prst="rect">
                      <a:avLst/>
                    </a:prstGeom>
                    <a:noFill/>
                    <a:ln w="9525">
                      <a:noFill/>
                      <a:headEnd/>
                      <a:tailEnd/>
                    </a:ln>
                  </pic:spPr>
                </pic:pic>
              </a:graphicData>
            </a:graphic>
          </wp:inline>
        </w:drawing>
      </w:r>
      <w:r>
        <w:br/>
      </w:r>
      <w:r>
        <w:rPr>
          <w:i/>
          <w:iCs/>
        </w:rPr>
        <w:t xml:space="preserve">Figure 6: Benchmark performance under Setting A (Hard Historical Negatives) comparing F1-score (green), Precision (blue), and Recall (orange) across all eight evaluated models for (A) APEX-IDS2026 and (B) CIC-IDS2017.</w:t>
      </w:r>
    </w:p>
    <w:bookmarkEnd w:id="52"/>
    <w:bookmarkStart w:id="56" w:name="the-negative-sampling-illusion"/>
    <w:p>
      <w:pPr>
        <w:pStyle w:val="Heading3"/>
      </w:pPr>
      <w:r>
        <w:t xml:space="preserve">5.3 The Negative Sampling Illusion</w:t>
      </w:r>
    </w:p>
    <w:p>
      <w:pPr>
        <w:pStyle w:val="FirstParagraph"/>
      </w:pPr>
      <w:r>
        <w:t xml:space="preserve">Figure 7 demonstrates the stark contrast between Setting A (Hard Historical Negatives) and Setting B (Mixed Random Negatives) across all models. Under Setting B, memory heuristics achieve near-100% precision (</w:t>
      </w:r>
      <m:oMath>
        <m:r>
          <m:t>99.95</m:t>
        </m:r>
        <m:r>
          <m:rPr>
            <m:sty m:val="p"/>
          </m:rPr>
          <m:t>%</m:t>
        </m:r>
        <m:r>
          <m:rPr>
            <m:sty m:val="p"/>
          </m:rPr>
          <m:t>−</m:t>
        </m:r>
        <m:r>
          <m:t>99.98</m:t>
        </m:r>
        <m:r>
          <m:rPr>
            <m:sty m:val="p"/>
          </m:rPr>
          <m:t>%</m:t>
        </m:r>
      </m:oMath>
      <w:r>
        <w:t xml:space="preserve">), creating an illusion of near-perfect temporal understanding. However, under Setting A, where negative candidates are sampled from expired historical communication links, precision collapses dramatically (</w:t>
      </w:r>
      <m:oMath>
        <m:r>
          <m:t>47.02</m:t>
        </m:r>
        <m:r>
          <m:rPr>
            <m:sty m:val="p"/>
          </m:rPr>
          <m:t>%</m:t>
        </m:r>
      </m:oMath>
      <w:r>
        <w:t xml:space="preserve"> </w:t>
      </w:r>
      <w:r>
        <w:t xml:space="preserve">on APEX and</w:t>
      </w:r>
      <w:r>
        <w:t xml:space="preserve"> </w:t>
      </w:r>
      <m:oMath>
        <m:r>
          <m:t>34.43</m:t>
        </m:r>
        <m:r>
          <m:rPr>
            <m:sty m:val="p"/>
          </m:rPr>
          <m:t>%</m:t>
        </m:r>
      </m:oMath>
      <w:r>
        <w:t xml:space="preserve"> </w:t>
      </w:r>
      <w:r>
        <w:t xml:space="preserve">on CIC for unbounded memory).</w:t>
      </w:r>
    </w:p>
    <w:p>
      <w:pPr>
        <w:pStyle w:val="BodyText"/>
      </w:pPr>
      <w:r>
        <w:drawing>
          <wp:inline>
            <wp:extent cx="5334000" cy="3457193"/>
            <wp:effectExtent b="0" l="0" r="0" t="0"/>
            <wp:docPr descr="Figure 7: Comparative Analysis of Negative Sampling Regimes (Setting A vs. Setting B)" title="" id="54" name="Picture"/>
            <a:graphic>
              <a:graphicData uri="http://schemas.openxmlformats.org/drawingml/2006/picture">
                <pic:pic>
                  <pic:nvPicPr>
                    <pic:cNvPr descr="../figures/fig07_benchmark_setting_comparison_full.png" id="55" name="Picture"/>
                    <pic:cNvPicPr>
                      <a:picLocks noChangeArrowheads="1" noChangeAspect="1"/>
                    </pic:cNvPicPr>
                  </pic:nvPicPr>
                  <pic:blipFill>
                    <a:blip r:embed="rId53"/>
                    <a:stretch>
                      <a:fillRect/>
                    </a:stretch>
                  </pic:blipFill>
                  <pic:spPr bwMode="auto">
                    <a:xfrm>
                      <a:off x="0" y="0"/>
                      <a:ext cx="5334000" cy="3457193"/>
                    </a:xfrm>
                    <a:prstGeom prst="rect">
                      <a:avLst/>
                    </a:prstGeom>
                    <a:noFill/>
                    <a:ln w="9525">
                      <a:noFill/>
                      <a:headEnd/>
                      <a:tailEnd/>
                    </a:ln>
                  </pic:spPr>
                </pic:pic>
              </a:graphicData>
            </a:graphic>
          </wp:inline>
        </w:drawing>
      </w:r>
      <w:r>
        <w:br/>
      </w:r>
      <w:r>
        <w:rPr>
          <w:i/>
          <w:iCs/>
        </w:rPr>
        <w:t xml:space="preserve">Figure 7: Comparative analysis of negative sampling regimes demonstrating the negative sampling illusion: Precision (top row) and F1-Score (bottom row) contrasting Setting A (Hard Historical Negatives, red) versus Setting B (Mixed Random Negatives, blue) across five representative models on APEX-IDS2026 (left) and CIC-IDS2017 (right).</w:t>
      </w:r>
    </w:p>
    <w:bookmarkEnd w:id="56"/>
    <w:bookmarkStart w:id="61" w:name="X5ef8b71a2a424be5fbde6f094fb7e7539e1f521"/>
    <w:p>
      <w:pPr>
        <w:pStyle w:val="Heading3"/>
      </w:pPr>
      <w:r>
        <w:t xml:space="preserve">5.4 EvolveGCN-H Per-Seed Performance and Training Dynamics</w:t>
      </w:r>
    </w:p>
    <w:p>
      <w:pPr>
        <w:pStyle w:val="FirstParagraph"/>
      </w:pPr>
      <w:r>
        <w:t xml:space="preserve">Table 4 details the per-seed results for EvolveGCN-H, and Figure 8 visualizes the per-seed performance variation.</w:t>
      </w:r>
    </w:p>
    <w:p>
      <w:pPr>
        <w:pStyle w:val="BodyText"/>
      </w:pPr>
      <w:r>
        <w:rPr>
          <w:b/>
          <w:bCs/>
        </w:rPr>
        <w:t xml:space="preserve">Table 4: Per-seed evaluation of EvolveGCN-H on structural degree features.</w:t>
      </w:r>
      <w:r>
        <w:br/>
      </w:r>
      <w:r>
        <w:rPr>
          <w:i/>
          <w:iCs/>
        </w:rPr>
        <w:t xml:space="preserve">All seeds share identical training data splits; within each seed run, all models are evaluated on identical candidate sets, while negative candidate draws vary across seeds.</w:t>
      </w:r>
    </w:p>
    <w:tbl>
      <w:tblPr>
        <w:tblStyle w:val="Table"/>
        <w:tblW w:type="pct" w:w="5000"/>
        <w:tblLayout w:type="fixed"/>
        <w:tblLook w:firstRow="1" w:lastRow="0" w:firstColumn="0" w:lastColumn="0" w:noHBand="0" w:noVBand="0" w:val="0020"/>
      </w:tblPr>
      <w:tblGrid>
        <w:gridCol w:w="812"/>
        <w:gridCol w:w="1015"/>
        <w:gridCol w:w="1015"/>
        <w:gridCol w:w="1015"/>
        <w:gridCol w:w="1015"/>
        <w:gridCol w:w="1015"/>
        <w:gridCol w:w="1015"/>
        <w:gridCol w:w="1015"/>
      </w:tblGrid>
      <w:tr>
        <w:trPr>
          <w:tblHeader w:val="on"/>
        </w:trPr>
        <w:tc>
          <w:tcPr/>
          <w:p>
            <w:pPr>
              <w:pStyle w:val="Compact"/>
              <w:jc w:val="left"/>
            </w:pPr>
            <w:r>
              <w:t xml:space="preserve">Dataset</w:t>
            </w:r>
          </w:p>
        </w:tc>
        <w:tc>
          <w:tcPr/>
          <w:p>
            <w:pPr>
              <w:pStyle w:val="Compact"/>
              <w:jc w:val="center"/>
            </w:pPr>
            <w:r>
              <w:t xml:space="preserve">Seed</w:t>
            </w:r>
          </w:p>
        </w:tc>
        <w:tc>
          <w:tcPr/>
          <w:p>
            <w:pPr>
              <w:pStyle w:val="Compact"/>
              <w:jc w:val="center"/>
            </w:pPr>
            <w:r>
              <w:t xml:space="preserve">Setting A: F1</w:t>
            </w:r>
          </w:p>
        </w:tc>
        <w:tc>
          <w:tcPr/>
          <w:p>
            <w:pPr>
              <w:pStyle w:val="Compact"/>
              <w:jc w:val="center"/>
            </w:pPr>
            <w:r>
              <w:t xml:space="preserve">Setting A: Precision</w:t>
            </w:r>
          </w:p>
        </w:tc>
        <w:tc>
          <w:tcPr/>
          <w:p>
            <w:pPr>
              <w:pStyle w:val="Compact"/>
              <w:jc w:val="center"/>
            </w:pPr>
            <w:r>
              <w:t xml:space="preserve">Setting A: Recall</w:t>
            </w:r>
          </w:p>
        </w:tc>
        <w:tc>
          <w:tcPr/>
          <w:p>
            <w:pPr>
              <w:pStyle w:val="Compact"/>
              <w:jc w:val="center"/>
            </w:pPr>
            <w:r>
              <w:t xml:space="preserve">Setting B: F1</w:t>
            </w:r>
          </w:p>
        </w:tc>
        <w:tc>
          <w:tcPr/>
          <w:p>
            <w:pPr>
              <w:pStyle w:val="Compact"/>
              <w:jc w:val="center"/>
            </w:pPr>
            <w:r>
              <w:t xml:space="preserve">Setting B: Precision</w:t>
            </w:r>
          </w:p>
        </w:tc>
        <w:tc>
          <w:tcPr/>
          <w:p>
            <w:pPr>
              <w:pStyle w:val="Compact"/>
              <w:jc w:val="center"/>
            </w:pPr>
            <w:r>
              <w:t xml:space="preserve">Setting B: Recall</w:t>
            </w:r>
          </w:p>
        </w:tc>
      </w:tr>
      <w:tr>
        <w:tc>
          <w:tcPr/>
          <w:p>
            <w:pPr>
              <w:pStyle w:val="Compact"/>
              <w:jc w:val="left"/>
            </w:pPr>
            <w:r>
              <w:rPr>
                <w:b/>
                <w:bCs/>
              </w:rPr>
              <w:t xml:space="preserve">APEX-IDS2026</w:t>
            </w:r>
          </w:p>
        </w:tc>
        <w:tc>
          <w:tcPr/>
          <w:p>
            <w:pPr>
              <w:pStyle w:val="Compact"/>
              <w:jc w:val="center"/>
            </w:pPr>
            <w:r>
              <w:t xml:space="preserve">42</w:t>
            </w:r>
          </w:p>
        </w:tc>
        <w:tc>
          <w:tcPr/>
          <w:p>
            <w:pPr>
              <w:pStyle w:val="Compact"/>
              <w:jc w:val="center"/>
            </w:pPr>
            <w:r>
              <w:t xml:space="preserve">52.24%</w:t>
            </w:r>
          </w:p>
        </w:tc>
        <w:tc>
          <w:tcPr/>
          <w:p>
            <w:pPr>
              <w:pStyle w:val="Compact"/>
              <w:jc w:val="center"/>
            </w:pPr>
            <w:r>
              <w:t xml:space="preserve">43.72%</w:t>
            </w:r>
          </w:p>
        </w:tc>
        <w:tc>
          <w:tcPr/>
          <w:p>
            <w:pPr>
              <w:pStyle w:val="Compact"/>
              <w:jc w:val="center"/>
            </w:pPr>
            <w:r>
              <w:t xml:space="preserve">65.15%</w:t>
            </w:r>
          </w:p>
        </w:tc>
        <w:tc>
          <w:tcPr/>
          <w:p>
            <w:pPr>
              <w:pStyle w:val="Compact"/>
              <w:jc w:val="center"/>
            </w:pPr>
            <w:r>
              <w:t xml:space="preserve">67.96%</w:t>
            </w:r>
          </w:p>
        </w:tc>
        <w:tc>
          <w:tcPr/>
          <w:p>
            <w:pPr>
              <w:pStyle w:val="Compact"/>
              <w:jc w:val="center"/>
            </w:pPr>
            <w:r>
              <w:t xml:space="preserve">72.19%</w:t>
            </w:r>
          </w:p>
        </w:tc>
        <w:tc>
          <w:tcPr/>
          <w:p>
            <w:pPr>
              <w:pStyle w:val="Compact"/>
              <w:jc w:val="center"/>
            </w:pPr>
            <w:r>
              <w:t xml:space="preserve">65.15%</w:t>
            </w:r>
          </w:p>
        </w:tc>
      </w:tr>
      <w:tr>
        <w:tc>
          <w:tcPr/>
          <w:p>
            <w:pPr>
              <w:pStyle w:val="Compact"/>
              <w:jc w:val="left"/>
            </w:pPr>
            <w:r>
              <w:t xml:space="preserve">APEX-IDS2026</w:t>
            </w:r>
          </w:p>
        </w:tc>
        <w:tc>
          <w:tcPr/>
          <w:p>
            <w:pPr>
              <w:pStyle w:val="Compact"/>
              <w:jc w:val="center"/>
            </w:pPr>
            <w:r>
              <w:t xml:space="preserve">100</w:t>
            </w:r>
          </w:p>
        </w:tc>
        <w:tc>
          <w:tcPr/>
          <w:p>
            <w:pPr>
              <w:pStyle w:val="Compact"/>
              <w:jc w:val="center"/>
            </w:pPr>
            <w:r>
              <w:t xml:space="preserve">53.57%</w:t>
            </w:r>
          </w:p>
        </w:tc>
        <w:tc>
          <w:tcPr/>
          <w:p>
            <w:pPr>
              <w:pStyle w:val="Compact"/>
              <w:jc w:val="center"/>
            </w:pPr>
            <w:r>
              <w:t xml:space="preserve">44.66%</w:t>
            </w:r>
          </w:p>
        </w:tc>
        <w:tc>
          <w:tcPr/>
          <w:p>
            <w:pPr>
              <w:pStyle w:val="Compact"/>
              <w:jc w:val="center"/>
            </w:pPr>
            <w:r>
              <w:t xml:space="preserve">67.04%</w:t>
            </w:r>
          </w:p>
        </w:tc>
        <w:tc>
          <w:tcPr/>
          <w:p>
            <w:pPr>
              <w:pStyle w:val="Compact"/>
              <w:jc w:val="center"/>
            </w:pPr>
            <w:r>
              <w:t xml:space="preserve">66.74%</w:t>
            </w:r>
          </w:p>
        </w:tc>
        <w:tc>
          <w:tcPr/>
          <w:p>
            <w:pPr>
              <w:pStyle w:val="Compact"/>
              <w:jc w:val="center"/>
            </w:pPr>
            <w:r>
              <w:t xml:space="preserve">66.63%</w:t>
            </w:r>
          </w:p>
        </w:tc>
        <w:tc>
          <w:tcPr/>
          <w:p>
            <w:pPr>
              <w:pStyle w:val="Compact"/>
              <w:jc w:val="center"/>
            </w:pPr>
            <w:r>
              <w:t xml:space="preserve">67.04%</w:t>
            </w:r>
          </w:p>
        </w:tc>
      </w:tr>
      <w:tr>
        <w:tc>
          <w:tcPr/>
          <w:p>
            <w:pPr>
              <w:pStyle w:val="Compact"/>
              <w:jc w:val="left"/>
            </w:pPr>
            <w:r>
              <w:t xml:space="preserve">APEX-IDS2026</w:t>
            </w:r>
          </w:p>
        </w:tc>
        <w:tc>
          <w:tcPr/>
          <w:p>
            <w:pPr>
              <w:pStyle w:val="Compact"/>
              <w:jc w:val="center"/>
            </w:pPr>
            <w:r>
              <w:t xml:space="preserve">123</w:t>
            </w:r>
          </w:p>
        </w:tc>
        <w:tc>
          <w:tcPr/>
          <w:p>
            <w:pPr>
              <w:pStyle w:val="Compact"/>
              <w:jc w:val="center"/>
            </w:pPr>
            <w:r>
              <w:t xml:space="preserve">66.67%</w:t>
            </w:r>
          </w:p>
        </w:tc>
        <w:tc>
          <w:tcPr/>
          <w:p>
            <w:pPr>
              <w:pStyle w:val="Compact"/>
              <w:jc w:val="center"/>
            </w:pPr>
            <w:r>
              <w:t xml:space="preserve">50.00%</w:t>
            </w:r>
          </w:p>
        </w:tc>
        <w:tc>
          <w:tcPr/>
          <w:p>
            <w:pPr>
              <w:pStyle w:val="Compact"/>
              <w:jc w:val="center"/>
            </w:pPr>
            <w:r>
              <w:t xml:space="preserve">100.00%</w:t>
            </w:r>
          </w:p>
        </w:tc>
        <w:tc>
          <w:tcPr/>
          <w:p>
            <w:pPr>
              <w:pStyle w:val="Compact"/>
              <w:jc w:val="center"/>
            </w:pPr>
            <w:r>
              <w:t xml:space="preserve">66.67%</w:t>
            </w:r>
          </w:p>
        </w:tc>
        <w:tc>
          <w:tcPr/>
          <w:p>
            <w:pPr>
              <w:pStyle w:val="Compact"/>
              <w:jc w:val="center"/>
            </w:pPr>
            <w:r>
              <w:t xml:space="preserve">50.00%</w:t>
            </w:r>
          </w:p>
        </w:tc>
        <w:tc>
          <w:tcPr/>
          <w:p>
            <w:pPr>
              <w:pStyle w:val="Compact"/>
              <w:jc w:val="center"/>
            </w:pPr>
            <w:r>
              <w:t xml:space="preserve">100.00%</w:t>
            </w:r>
          </w:p>
        </w:tc>
      </w:tr>
      <w:tr>
        <w:tc>
          <w:tcPr/>
          <w:p>
            <w:pPr>
              <w:pStyle w:val="Compact"/>
              <w:jc w:val="left"/>
            </w:pPr>
            <w:r>
              <w:t xml:space="preserve">APEX-IDS2026</w:t>
            </w:r>
          </w:p>
        </w:tc>
        <w:tc>
          <w:tcPr/>
          <w:p>
            <w:pPr>
              <w:pStyle w:val="Compact"/>
              <w:jc w:val="center"/>
            </w:pPr>
            <w:r>
              <w:t xml:space="preserve">456</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r>
      <w:tr>
        <w:tc>
          <w:tcPr/>
          <w:p>
            <w:pPr>
              <w:pStyle w:val="Compact"/>
              <w:jc w:val="left"/>
            </w:pPr>
            <w:r>
              <w:t xml:space="preserve">APEX-IDS2026</w:t>
            </w:r>
          </w:p>
        </w:tc>
        <w:tc>
          <w:tcPr/>
          <w:p>
            <w:pPr>
              <w:pStyle w:val="Compact"/>
              <w:jc w:val="center"/>
            </w:pPr>
            <w:r>
              <w:t xml:space="preserve">999</w:t>
            </w:r>
          </w:p>
        </w:tc>
        <w:tc>
          <w:tcPr/>
          <w:p>
            <w:pPr>
              <w:pStyle w:val="Compact"/>
              <w:jc w:val="center"/>
            </w:pPr>
            <w:r>
              <w:t xml:space="preserve">59.30%</w:t>
            </w:r>
          </w:p>
        </w:tc>
        <w:tc>
          <w:tcPr/>
          <w:p>
            <w:pPr>
              <w:pStyle w:val="Compact"/>
              <w:jc w:val="center"/>
            </w:pPr>
            <w:r>
              <w:t xml:space="preserve">54.99%</w:t>
            </w:r>
          </w:p>
        </w:tc>
        <w:tc>
          <w:tcPr/>
          <w:p>
            <w:pPr>
              <w:pStyle w:val="Compact"/>
              <w:jc w:val="center"/>
            </w:pPr>
            <w:r>
              <w:t xml:space="preserve">64.59%</w:t>
            </w:r>
          </w:p>
        </w:tc>
        <w:tc>
          <w:tcPr/>
          <w:p>
            <w:pPr>
              <w:pStyle w:val="Compact"/>
              <w:jc w:val="center"/>
            </w:pPr>
            <w:r>
              <w:t xml:space="preserve">66.32%</w:t>
            </w:r>
          </w:p>
        </w:tc>
        <w:tc>
          <w:tcPr/>
          <w:p>
            <w:pPr>
              <w:pStyle w:val="Compact"/>
              <w:jc w:val="center"/>
            </w:pPr>
            <w:r>
              <w:t xml:space="preserve">68.55%</w:t>
            </w:r>
          </w:p>
        </w:tc>
        <w:tc>
          <w:tcPr/>
          <w:p>
            <w:pPr>
              <w:pStyle w:val="Compact"/>
              <w:jc w:val="center"/>
            </w:pPr>
            <w:r>
              <w:t xml:space="preserve">64.59%</w:t>
            </w:r>
          </w:p>
        </w:tc>
      </w:tr>
      <w:tr>
        <w:tc>
          <w:tcPr/>
          <w:p>
            <w:pPr>
              <w:pStyle w:val="Compact"/>
              <w:jc w:val="left"/>
            </w:pPr>
            <w:r>
              <w:rPr>
                <w:b/>
                <w:bCs/>
              </w:rPr>
              <w:t xml:space="preserve">CIC-IDS2017</w:t>
            </w:r>
          </w:p>
        </w:tc>
        <w:tc>
          <w:tcPr/>
          <w:p>
            <w:pPr>
              <w:pStyle w:val="Compact"/>
              <w:jc w:val="center"/>
            </w:pPr>
            <w:r>
              <w:t xml:space="preserve">42</w:t>
            </w:r>
          </w:p>
        </w:tc>
        <w:tc>
          <w:tcPr/>
          <w:p>
            <w:pPr>
              <w:pStyle w:val="Compact"/>
              <w:jc w:val="center"/>
            </w:pPr>
            <w:r>
              <w:t xml:space="preserve">80.55%</w:t>
            </w:r>
          </w:p>
        </w:tc>
        <w:tc>
          <w:tcPr/>
          <w:p>
            <w:pPr>
              <w:pStyle w:val="Compact"/>
              <w:jc w:val="center"/>
            </w:pPr>
            <w:r>
              <w:t xml:space="preserve">67.85%</w:t>
            </w:r>
          </w:p>
        </w:tc>
        <w:tc>
          <w:tcPr/>
          <w:p>
            <w:pPr>
              <w:pStyle w:val="Compact"/>
              <w:jc w:val="center"/>
            </w:pPr>
            <w:r>
              <w:t xml:space="preserve">99.10%</w:t>
            </w:r>
          </w:p>
        </w:tc>
        <w:tc>
          <w:tcPr/>
          <w:p>
            <w:pPr>
              <w:pStyle w:val="Compact"/>
              <w:jc w:val="center"/>
            </w:pPr>
            <w:r>
              <w:t xml:space="preserve">86.46%</w:t>
            </w:r>
          </w:p>
        </w:tc>
        <w:tc>
          <w:tcPr/>
          <w:p>
            <w:pPr>
              <w:pStyle w:val="Compact"/>
              <w:jc w:val="center"/>
            </w:pPr>
            <w:r>
              <w:t xml:space="preserve">76.67%</w:t>
            </w:r>
          </w:p>
        </w:tc>
        <w:tc>
          <w:tcPr/>
          <w:p>
            <w:pPr>
              <w:pStyle w:val="Compact"/>
              <w:jc w:val="center"/>
            </w:pPr>
            <w:r>
              <w:t xml:space="preserve">99.10%</w:t>
            </w:r>
          </w:p>
        </w:tc>
      </w:tr>
      <w:tr>
        <w:tc>
          <w:tcPr/>
          <w:p>
            <w:pPr>
              <w:pStyle w:val="Compact"/>
              <w:jc w:val="left"/>
            </w:pPr>
            <w:r>
              <w:t xml:space="preserve">CIC-IDS2017</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r>
      <w:tr>
        <w:tc>
          <w:tcPr/>
          <w:p>
            <w:pPr>
              <w:pStyle w:val="Compact"/>
              <w:jc w:val="left"/>
            </w:pPr>
            <w:r>
              <w:t xml:space="preserve">CIC-IDS2017</w:t>
            </w:r>
          </w:p>
        </w:tc>
        <w:tc>
          <w:tcPr/>
          <w:p>
            <w:pPr>
              <w:pStyle w:val="Compact"/>
              <w:jc w:val="center"/>
            </w:pPr>
            <w:r>
              <w:t xml:space="preserve">123</w:t>
            </w:r>
          </w:p>
        </w:tc>
        <w:tc>
          <w:tcPr/>
          <w:p>
            <w:pPr>
              <w:pStyle w:val="Compact"/>
              <w:jc w:val="center"/>
            </w:pPr>
            <w:r>
              <w:t xml:space="preserve">32.89%</w:t>
            </w:r>
          </w:p>
        </w:tc>
        <w:tc>
          <w:tcPr/>
          <w:p>
            <w:pPr>
              <w:pStyle w:val="Compact"/>
              <w:jc w:val="center"/>
            </w:pPr>
            <w:r>
              <w:t xml:space="preserve">35.28%</w:t>
            </w:r>
          </w:p>
        </w:tc>
        <w:tc>
          <w:tcPr/>
          <w:p>
            <w:pPr>
              <w:pStyle w:val="Compact"/>
              <w:jc w:val="center"/>
            </w:pPr>
            <w:r>
              <w:t xml:space="preserve">30.80%</w:t>
            </w:r>
          </w:p>
        </w:tc>
        <w:tc>
          <w:tcPr/>
          <w:p>
            <w:pPr>
              <w:pStyle w:val="Compact"/>
              <w:jc w:val="center"/>
            </w:pPr>
            <w:r>
              <w:t xml:space="preserve">43.58%</w:t>
            </w:r>
          </w:p>
        </w:tc>
        <w:tc>
          <w:tcPr/>
          <w:p>
            <w:pPr>
              <w:pStyle w:val="Compact"/>
              <w:jc w:val="center"/>
            </w:pPr>
            <w:r>
              <w:t xml:space="preserve">74.49%</w:t>
            </w:r>
          </w:p>
        </w:tc>
        <w:tc>
          <w:tcPr/>
          <w:p>
            <w:pPr>
              <w:pStyle w:val="Compact"/>
              <w:jc w:val="center"/>
            </w:pPr>
            <w:r>
              <w:t xml:space="preserve">30.80%</w:t>
            </w:r>
          </w:p>
        </w:tc>
      </w:tr>
      <w:tr>
        <w:tc>
          <w:tcPr/>
          <w:p>
            <w:pPr>
              <w:pStyle w:val="Compact"/>
              <w:jc w:val="left"/>
            </w:pPr>
            <w:r>
              <w:t xml:space="preserve">CIC-IDS2017</w:t>
            </w:r>
          </w:p>
        </w:tc>
        <w:tc>
          <w:tcPr/>
          <w:p>
            <w:pPr>
              <w:pStyle w:val="Compact"/>
              <w:jc w:val="center"/>
            </w:pPr>
            <w:r>
              <w:t xml:space="preserve">456</w:t>
            </w:r>
          </w:p>
        </w:tc>
        <w:tc>
          <w:tcPr/>
          <w:p>
            <w:pPr>
              <w:pStyle w:val="Compact"/>
              <w:jc w:val="center"/>
            </w:pPr>
            <w:r>
              <w:t xml:space="preserve">35.17%</w:t>
            </w:r>
          </w:p>
        </w:tc>
        <w:tc>
          <w:tcPr/>
          <w:p>
            <w:pPr>
              <w:pStyle w:val="Compact"/>
              <w:jc w:val="center"/>
            </w:pPr>
            <w:r>
              <w:t xml:space="preserve">60.17%</w:t>
            </w:r>
          </w:p>
        </w:tc>
        <w:tc>
          <w:tcPr/>
          <w:p>
            <w:pPr>
              <w:pStyle w:val="Compact"/>
              <w:jc w:val="center"/>
            </w:pPr>
            <w:r>
              <w:t xml:space="preserve">24.85%</w:t>
            </w:r>
          </w:p>
        </w:tc>
        <w:tc>
          <w:tcPr/>
          <w:p>
            <w:pPr>
              <w:pStyle w:val="Compact"/>
              <w:jc w:val="center"/>
            </w:pPr>
            <w:r>
              <w:t xml:space="preserve">39.62%</w:t>
            </w:r>
          </w:p>
        </w:tc>
        <w:tc>
          <w:tcPr/>
          <w:p>
            <w:pPr>
              <w:pStyle w:val="Compact"/>
              <w:jc w:val="center"/>
            </w:pPr>
            <w:r>
              <w:t xml:space="preserve">97.64%</w:t>
            </w:r>
          </w:p>
        </w:tc>
        <w:tc>
          <w:tcPr/>
          <w:p>
            <w:pPr>
              <w:pStyle w:val="Compact"/>
              <w:jc w:val="center"/>
            </w:pPr>
            <w:r>
              <w:t xml:space="preserve">24.85%</w:t>
            </w:r>
          </w:p>
        </w:tc>
      </w:tr>
      <w:tr>
        <w:tc>
          <w:tcPr/>
          <w:p>
            <w:pPr>
              <w:pStyle w:val="Compact"/>
              <w:jc w:val="left"/>
            </w:pPr>
            <w:r>
              <w:t xml:space="preserve">CIC-IDS2017</w:t>
            </w:r>
          </w:p>
        </w:tc>
        <w:tc>
          <w:tcPr/>
          <w:p>
            <w:pPr>
              <w:pStyle w:val="Compact"/>
              <w:jc w:val="center"/>
            </w:pPr>
            <w:r>
              <w:t xml:space="preserve">999</w:t>
            </w:r>
          </w:p>
        </w:tc>
        <w:tc>
          <w:tcPr/>
          <w:p>
            <w:pPr>
              <w:pStyle w:val="Compact"/>
              <w:jc w:val="center"/>
            </w:pPr>
            <w:r>
              <w:t xml:space="preserve">34.52%</w:t>
            </w:r>
          </w:p>
        </w:tc>
        <w:tc>
          <w:tcPr/>
          <w:p>
            <w:pPr>
              <w:pStyle w:val="Compact"/>
              <w:jc w:val="center"/>
            </w:pPr>
            <w:r>
              <w:t xml:space="preserve">61.81%</w:t>
            </w:r>
          </w:p>
        </w:tc>
        <w:tc>
          <w:tcPr/>
          <w:p>
            <w:pPr>
              <w:pStyle w:val="Compact"/>
              <w:jc w:val="center"/>
            </w:pPr>
            <w:r>
              <w:t xml:space="preserve">23.95%</w:t>
            </w:r>
          </w:p>
        </w:tc>
        <w:tc>
          <w:tcPr/>
          <w:p>
            <w:pPr>
              <w:pStyle w:val="Compact"/>
              <w:jc w:val="center"/>
            </w:pPr>
            <w:r>
              <w:t xml:space="preserve">35.00%</w:t>
            </w:r>
          </w:p>
        </w:tc>
        <w:tc>
          <w:tcPr/>
          <w:p>
            <w:pPr>
              <w:pStyle w:val="Compact"/>
              <w:jc w:val="center"/>
            </w:pPr>
            <w:r>
              <w:t xml:space="preserve">64.99%</w:t>
            </w:r>
          </w:p>
        </w:tc>
        <w:tc>
          <w:tcPr/>
          <w:p>
            <w:pPr>
              <w:pStyle w:val="Compact"/>
              <w:jc w:val="center"/>
            </w:pPr>
            <w:r>
              <w:t xml:space="preserve">23.95%</w:t>
            </w:r>
          </w:p>
        </w:tc>
      </w:tr>
    </w:tbl>
    <w:p>
      <w:pPr>
        <w:pStyle w:val="BodyText"/>
      </w:pPr>
      <w:r>
        <w:drawing>
          <wp:inline>
            <wp:extent cx="5334000" cy="2198188"/>
            <wp:effectExtent b="0" l="0" r="0" t="0"/>
            <wp:docPr descr="Figure 8: Per-Seed Training Dynamics and Collapse Modes of EvolveGCN-H" title="" id="58" name="Picture"/>
            <a:graphic>
              <a:graphicData uri="http://schemas.openxmlformats.org/drawingml/2006/picture">
                <pic:pic>
                  <pic:nvPicPr>
                    <pic:cNvPr descr="../figures/fig08_per_seed_evolvegcn_diagnostics.png" id="59" name="Picture"/>
                    <pic:cNvPicPr>
                      <a:picLocks noChangeArrowheads="1" noChangeAspect="1"/>
                    </pic:cNvPicPr>
                  </pic:nvPicPr>
                  <pic:blipFill>
                    <a:blip r:embed="rId57"/>
                    <a:stretch>
                      <a:fillRect/>
                    </a:stretch>
                  </pic:blipFill>
                  <pic:spPr bwMode="auto">
                    <a:xfrm>
                      <a:off x="0" y="0"/>
                      <a:ext cx="5334000" cy="2198188"/>
                    </a:xfrm>
                    <a:prstGeom prst="rect">
                      <a:avLst/>
                    </a:prstGeom>
                    <a:noFill/>
                    <a:ln w="9525">
                      <a:noFill/>
                      <a:headEnd/>
                      <a:tailEnd/>
                    </a:ln>
                  </pic:spPr>
                </pic:pic>
              </a:graphicData>
            </a:graphic>
          </wp:inline>
        </w:drawing>
      </w:r>
      <w:r>
        <w:br/>
      </w:r>
      <w:r>
        <w:rPr>
          <w:i/>
          <w:iCs/>
        </w:rPr>
        <w:t xml:space="preserve">Figure 8: Per-seed evaluation of EvolveGCN-H across five random seeds (</w:t>
      </w:r>
      <w:r>
        <w:rPr>
          <w:rStyle w:val="VerbatimChar"/>
          <w:i/>
          <w:iCs/>
        </w:rPr>
        <w:t xml:space="preserve">[42, 100, 123, 456, 999]</w:t>
      </w:r>
      <w:r>
        <w:rPr>
          <w:i/>
          <w:iCs/>
        </w:rPr>
        <w:t xml:space="preserve">) on (A) APEX-IDS2026 and (B) CIC-IDS2017 under Setting A (red) and Setting B (blue). The plot highlights the high variance and degenerate collapse modes (e.g., complete collapse to 0% F1 for APEX seed 456 and CIC seed 100, and drift to all-positive predictions for APEX seed 123).</w:t>
      </w:r>
    </w:p>
    <w:bookmarkStart w:id="60" w:name="X8a675c48ce005a0389b2c7dccf0e328b8480c66"/>
    <w:p>
      <w:pPr>
        <w:pStyle w:val="Heading4"/>
      </w:pPr>
      <w:r>
        <w:t xml:space="preserve">Investigation of Training Dynamics and Optimization Instability</w:t>
      </w:r>
    </w:p>
    <w:p>
      <w:pPr>
        <w:pStyle w:val="FirstParagraph"/>
      </w:pPr>
      <w:r>
        <w:t xml:space="preserve">Exploratory training instrumentation of PyTorch parameter gradients, internal weight norms, and intermediate output logits across all five seeds provides insight into the optimization dynamics of the adapted EvolveGCN-H variant. We disclose that while final test metrics and degenerate predictions are recorded in released summary artifacts, step-wise gradient norm trajectories and extreme pre-sigmoid logit histories were observed during diagnostic training runs rather than persisted as standalone benchmark log files:</w:t>
      </w:r>
      <w:r>
        <w:t xml:space="preserve"> </w:t>
      </w:r>
      <w:r>
        <w:t xml:space="preserve">1.</w:t>
      </w:r>
      <w:r>
        <w:t xml:space="preserve"> </w:t>
      </w:r>
      <w:r>
        <w:rPr>
          <w:b/>
          <w:bCs/>
        </w:rPr>
        <w:t xml:space="preserve">Measured Gradient Norms in the MLP Predictor Head (Diagnostic Observation):</w:t>
      </w:r>
      <w:r>
        <w:t xml:space="preserve"> </w:t>
      </w:r>
      <w:r>
        <w:t xml:space="preserve">In exploratory training instrumentation at initialization and throughout early optimization steps, exceptionally large gradient norms were observed on the link prediction MLP head (</w:t>
      </w:r>
      <w:r>
        <w:rPr>
          <w:rStyle w:val="VerbatimChar"/>
        </w:rPr>
        <w:t xml:space="preserve">predictor[0].weight</w:t>
      </w:r>
      <w:r>
        <w:t xml:space="preserve">) and recurrent GRU weights. The baseline implementation operates without gradient clipping (</w:t>
      </w:r>
      <w:r>
        <w:rPr>
          <w:rStyle w:val="VerbatimChar"/>
        </w:rPr>
        <w:t xml:space="preserve">torch.nn.utils.clip_grad_norm_</w:t>
      </w:r>
      <w:r>
        <w:t xml:space="preserve">) or normalization layers, allowing unconstrained parameter step updates.</w:t>
      </w:r>
      <w:r>
        <w:t xml:space="preserve"> </w:t>
      </w:r>
      <w:r>
        <w:t xml:space="preserve">2.</w:t>
      </w:r>
      <w:r>
        <w:t xml:space="preserve"> </w:t>
      </w:r>
      <w:r>
        <w:rPr>
          <w:b/>
          <w:bCs/>
        </w:rPr>
        <w:t xml:space="preserve">Logit Saturation and Degenerate Predictions (Diagnostic &amp; Recorded):</w:t>
      </w:r>
      <w:r>
        <w:t xml:space="preserve"> </w:t>
      </w:r>
      <w:r>
        <w:t xml:space="preserve">During optimization, pre-sigmoid output logits diverged into saturated numerical regimes. In benchmark result artifacts (</w:t>
      </w:r>
      <w:r>
        <w:rPr>
          <w:rStyle w:val="VerbatimChar"/>
        </w:rPr>
        <w:t xml:space="preserve">results/metrics/benchmark_five_seed_results.json</w:t>
      </w:r>
      <w:r>
        <w:t xml:space="preserve">), the practical impact of this saturation is directly demonstrated in the recorded test predictions: seed 123 drifts into extreme positive logits (</w:t>
      </w:r>
      <m:oMath>
        <m:acc>
          <m:accPr>
            <m:chr m:val="̂"/>
          </m:accPr>
          <m:e>
            <m:r>
              <m:t>y</m:t>
            </m:r>
          </m:e>
        </m:acc>
        <m:r>
          <m:rPr>
            <m:sty m:val="p"/>
          </m:rPr>
          <m:t>&gt;</m:t>
        </m:r>
        <m:r>
          <m:rPr>
            <m:sty m:val="p"/>
          </m:rPr>
          <m:t>+</m:t>
        </m:r>
        <m:r>
          <m:t>15.0</m:t>
        </m:r>
      </m:oMath>
      <w:r>
        <w:t xml:space="preserve">), predicting active links for all candidate pairs and yielding exactly</w:t>
      </w:r>
      <w:r>
        <w:t xml:space="preserve"> </w:t>
      </w:r>
      <m:oMath>
        <m:r>
          <m:t>50.0</m:t>
        </m:r>
        <m:r>
          <m:rPr>
            <m:sty m:val="p"/>
          </m:rPr>
          <m:t>%</m:t>
        </m:r>
      </m:oMath>
      <w:r>
        <w:t xml:space="preserve"> </w:t>
      </w:r>
      <w:r>
        <w:t xml:space="preserve">precision,</w:t>
      </w:r>
      <w:r>
        <w:t xml:space="preserve"> </w:t>
      </w:r>
      <m:oMath>
        <m:r>
          <m:t>100.0</m:t>
        </m:r>
        <m:r>
          <m:rPr>
            <m:sty m:val="p"/>
          </m:rPr>
          <m:t>%</m:t>
        </m:r>
      </m:oMath>
      <w:r>
        <w:t xml:space="preserve"> </w:t>
      </w:r>
      <w:r>
        <w:t xml:space="preserve">recall, and an F1 of</w:t>
      </w:r>
      <w:r>
        <w:t xml:space="preserve"> </w:t>
      </w:r>
      <m:oMath>
        <m:r>
          <m:t>66.67</m:t>
        </m:r>
        <m:r>
          <m:rPr>
            <m:sty m:val="p"/>
          </m:rPr>
          <m:t>%</m:t>
        </m:r>
      </m:oMath>
      <w:r>
        <w:t xml:space="preserve">. Conversely, seed 456 collapses into negative logits (</w:t>
      </w:r>
      <m:oMath>
        <m:acc>
          <m:accPr>
            <m:chr m:val="̂"/>
          </m:accPr>
          <m:e>
            <m:r>
              <m:t>y</m:t>
            </m:r>
          </m:e>
        </m:acc>
        <m:r>
          <m:rPr>
            <m:sty m:val="p"/>
          </m:rPr>
          <m:t>&lt;</m:t>
        </m:r>
        <m:r>
          <m:rPr>
            <m:sty m:val="p"/>
          </m:rPr>
          <m:t>−</m:t>
        </m:r>
        <m:r>
          <m:t>15.0</m:t>
        </m:r>
      </m:oMath>
      <w:r>
        <w:t xml:space="preserve">), producing zero positive predictions and</w:t>
      </w:r>
      <w:r>
        <w:t xml:space="preserve"> </w:t>
      </w:r>
      <m:oMath>
        <m:r>
          <m:t>0.0</m:t>
        </m:r>
        <m:r>
          <m:rPr>
            <m:sty m:val="p"/>
          </m:rPr>
          <m:t>%</m:t>
        </m:r>
      </m:oMath>
      <w:r>
        <w:t xml:space="preserve"> </w:t>
      </w:r>
      <w:r>
        <w:t xml:space="preserve">F1. On CIC-IDS2017, seed 100 collapses into negative logits (</w:t>
      </w:r>
      <m:oMath>
        <m:r>
          <m:t>0.0</m:t>
        </m:r>
        <m:r>
          <m:rPr>
            <m:sty m:val="p"/>
          </m:rPr>
          <m:t>%</m:t>
        </m:r>
      </m:oMath>
      <w:r>
        <w:t xml:space="preserve"> </w:t>
      </w:r>
      <w:r>
        <w:t xml:space="preserve">F1), while seed 42 achieves</w:t>
      </w:r>
      <w:r>
        <w:t xml:space="preserve"> </w:t>
      </w:r>
      <m:oMath>
        <m:r>
          <m:t>99.10</m:t>
        </m:r>
        <m:r>
          <m:rPr>
            <m:sty m:val="p"/>
          </m:rPr>
          <m:t>%</m:t>
        </m:r>
      </m:oMath>
      <w:r>
        <w:t xml:space="preserve"> </w:t>
      </w:r>
      <w:r>
        <w:t xml:space="preserve">recall (</w:t>
      </w:r>
      <m:oMath>
        <m:r>
          <m:t>80.55</m:t>
        </m:r>
        <m:r>
          <m:rPr>
            <m:sty m:val="p"/>
          </m:rPr>
          <m:t>%</m:t>
        </m:r>
      </m:oMath>
      <w:r>
        <w:t xml:space="preserve"> </w:t>
      </w:r>
      <w:r>
        <w:t xml:space="preserve">F1 under Setting A).</w:t>
      </w:r>
      <w:r>
        <w:t xml:space="preserve"> </w:t>
      </w:r>
      <w:r>
        <w:t xml:space="preserve">3.</w:t>
      </w:r>
      <w:r>
        <w:t xml:space="preserve"> </w:t>
      </w:r>
      <w:r>
        <w:rPr>
          <w:b/>
          <w:bCs/>
        </w:rPr>
        <w:t xml:space="preserve">Distinguishing Direct Observation from Causal Hypotheses:</w:t>
      </w:r>
      <w:r>
        <w:t xml:space="preserve"> </w:t>
      </w:r>
      <w:r>
        <w:t xml:space="preserve">Although large initial gradient norms and extreme logit saturation were observed during training, establishing a definitive causal link would require controlled ablation experiments (e.g., demonstrating whether gradient clipping or LayerNorm alone prevents logit divergence). We can empirically rule out the hypothesis of initial gradient underflow, as gradients at initialization are exceptionally large. However, whether logit saturation is caused primarily by unconstrained gradient steps, extreme scale disparities in degree features, or recurrent parameter interaction remains an unproven explanatory hypothesis rather than an experimentally validated conclusion. Furthermore, in IEEE 754 single-precision (float32) arithmetic, the mathematical derivative of the sigmoid function</w:t>
      </w:r>
      <w:r>
        <w:t xml:space="preserve"> </w:t>
      </w:r>
      <m:oMath>
        <m:sSup>
          <m:e>
            <m:r>
              <m:t>σ</m:t>
            </m:r>
          </m:e>
          <m:sup>
            <m:r>
              <m:rPr>
                <m:sty m:val="p"/>
              </m:rPr>
              <m:t>′</m:t>
            </m:r>
          </m:sup>
        </m:sSup>
        <m:r>
          <m:rPr>
            <m:sty m:val="p"/>
          </m:rPr>
          <m:t>(</m:t>
        </m:r>
        <m:r>
          <m:t>z</m:t>
        </m:r>
        <m:r>
          <m:rPr>
            <m:sty m:val="p"/>
          </m:rPr>
          <m:t>)</m:t>
        </m:r>
        <m:r>
          <m:rPr>
            <m:sty m:val="p"/>
          </m:rPr>
          <m:t>=</m:t>
        </m:r>
        <m:r>
          <m:t>σ</m:t>
        </m:r>
        <m:r>
          <m:rPr>
            <m:sty m:val="p"/>
          </m:rPr>
          <m:t>(</m:t>
        </m:r>
        <m:r>
          <m:t>z</m:t>
        </m:r>
        <m:r>
          <m:rPr>
            <m:sty m:val="p"/>
          </m:rPr>
          <m:t>)</m:t>
        </m:r>
        <m:r>
          <m:rPr>
            <m:sty m:val="p"/>
          </m:rPr>
          <m:t>(</m:t>
        </m:r>
        <m:r>
          <m:t>1</m:t>
        </m:r>
        <m:r>
          <m:rPr>
            <m:sty m:val="p"/>
          </m:rPr>
          <m:t>−</m:t>
        </m:r>
        <m:r>
          <m:t>σ</m:t>
        </m:r>
        <m:r>
          <m:rPr>
            <m:sty m:val="p"/>
          </m:rPr>
          <m:t>(</m:t>
        </m:r>
        <m:r>
          <m:t>z</m:t>
        </m:r>
        <m:r>
          <m:rPr>
            <m:sty m:val="p"/>
          </m:rPr>
          <m:t>)</m:t>
        </m:r>
        <m:r>
          <m:rPr>
            <m:sty m:val="p"/>
          </m:rPr>
          <m:t>)</m:t>
        </m:r>
      </m:oMath>
      <w:r>
        <w:t xml:space="preserve"> </w:t>
      </w:r>
      <w:r>
        <w:t xml:space="preserve">evaluates to exactly</w:t>
      </w:r>
      <w:r>
        <w:t xml:space="preserve"> </w:t>
      </w:r>
      <m:oMath>
        <m:r>
          <m:t>0.0</m:t>
        </m:r>
      </m:oMath>
      <w:r>
        <w:t xml:space="preserve"> </w:t>
      </w:r>
      <w:r>
        <w:t xml:space="preserve">once</w:t>
      </w:r>
      <w:r>
        <w:t xml:space="preserve"> </w:t>
      </w:r>
      <m:oMath>
        <m:r>
          <m:rPr>
            <m:sty m:val="p"/>
          </m:rPr>
          <m:t>|</m:t>
        </m:r>
        <m:r>
          <m:t>z</m:t>
        </m:r>
        <m:r>
          <m:rPr>
            <m:sty m:val="p"/>
          </m:rPr>
          <m:t>|</m:t>
        </m:r>
        <m:r>
          <m:rPr>
            <m:sty m:val="p"/>
          </m:rPr>
          <m:t>≥</m:t>
        </m:r>
        <m:r>
          <m:t>16.64</m:t>
        </m:r>
      </m:oMath>
      <w:r>
        <w:t xml:space="preserve"> </w:t>
      </w:r>
      <w:r>
        <w:t xml:space="preserve">(since</w:t>
      </w:r>
      <w:r>
        <w:t xml:space="preserve"> </w:t>
      </w:r>
      <m:oMath>
        <m:sSup>
          <m:e>
            <m:r>
              <m:t>e</m:t>
            </m:r>
          </m:e>
          <m:sup>
            <m:r>
              <m:rPr>
                <m:sty m:val="p"/>
              </m:rPr>
              <m:t>−</m:t>
            </m:r>
            <m:r>
              <m:t>16.64</m:t>
            </m:r>
          </m:sup>
        </m:sSup>
        <m:r>
          <m:rPr>
            <m:sty m:val="p"/>
          </m:rPr>
          <m:t>&lt;</m:t>
        </m:r>
        <m:sSup>
          <m:e>
            <m:r>
              <m:t>2</m:t>
            </m:r>
          </m:e>
          <m:sup>
            <m:r>
              <m:rPr>
                <m:sty m:val="p"/>
              </m:rPr>
              <m:t>−</m:t>
            </m:r>
            <m:r>
              <m:t>24</m:t>
            </m:r>
          </m:sup>
        </m:sSup>
      </m:oMath>
      <w:r>
        <w:t xml:space="preserve">, causing</w:t>
      </w:r>
      <w:r>
        <w:t xml:space="preserve"> </w:t>
      </w:r>
      <m:oMath>
        <m:r>
          <m:t>σ</m:t>
        </m:r>
        <m:r>
          <m:rPr>
            <m:sty m:val="p"/>
          </m:rPr>
          <m:t>(</m:t>
        </m:r>
        <m:r>
          <m:t>z</m:t>
        </m:r>
        <m:r>
          <m:rPr>
            <m:sty m:val="p"/>
          </m:rPr>
          <m:t>)</m:t>
        </m:r>
      </m:oMath>
      <w:r>
        <w:t xml:space="preserve"> </w:t>
      </w:r>
      <w:r>
        <w:t xml:space="preserve">to round to</w:t>
      </w:r>
      <w:r>
        <w:t xml:space="preserve"> </w:t>
      </w:r>
      <m:oMath>
        <m:r>
          <m:t>1.0</m:t>
        </m:r>
        <m:r>
          <m:t>f</m:t>
        </m:r>
      </m:oMath>
      <w:r>
        <w:t xml:space="preserve"> </w:t>
      </w:r>
      <w:r>
        <w:t xml:space="preserve">and</w:t>
      </w:r>
      <w:r>
        <w:t xml:space="preserve"> </w:t>
      </w:r>
      <m:oMath>
        <m:r>
          <m:t>1</m:t>
        </m:r>
        <m:r>
          <m:rPr>
            <m:sty m:val="p"/>
          </m:rPr>
          <m:t>−</m:t>
        </m:r>
        <m:r>
          <m:t>σ</m:t>
        </m:r>
        <m:r>
          <m:rPr>
            <m:sty m:val="p"/>
          </m:rPr>
          <m:t>(</m:t>
        </m:r>
        <m:r>
          <m:t>z</m:t>
        </m:r>
        <m:r>
          <m:rPr>
            <m:sty m:val="p"/>
          </m:rPr>
          <m:t>)</m:t>
        </m:r>
      </m:oMath>
      <w:r>
        <w:t xml:space="preserve"> </w:t>
      </w:r>
      <w:r>
        <w:t xml:space="preserve">to evaluate to</w:t>
      </w:r>
      <w:r>
        <w:t xml:space="preserve"> </w:t>
      </w:r>
      <m:oMath>
        <m:r>
          <m:t>0.0</m:t>
        </m:r>
        <m:r>
          <m:t>f</m:t>
        </m:r>
      </m:oMath>
      <w:r>
        <w:t xml:space="preserve">). In</w:t>
      </w:r>
      <w:r>
        <w:t xml:space="preserve"> </w:t>
      </w:r>
      <w:r>
        <w:rPr>
          <w:rStyle w:val="VerbatimChar"/>
        </w:rPr>
        <w:t xml:space="preserve">BCEWithLogitsLoss</w:t>
      </w:r>
      <w:r>
        <w:t xml:space="preserve">, the loss gradient with respect to logit</w:t>
      </w:r>
      <w:r>
        <w:t xml:space="preserve"> </w:t>
      </w:r>
      <m:oMath>
        <m:r>
          <m:t>z</m:t>
        </m:r>
      </m:oMath>
      <w:r>
        <w:t xml:space="preserve"> </w:t>
      </w:r>
      <w:r>
        <w:t xml:space="preserve">is</w:t>
      </w:r>
      <w:r>
        <w:t xml:space="preserve"> </w:t>
      </w:r>
      <m:oMath>
        <m:f>
          <m:fPr>
            <m:type m:val="bar"/>
          </m:fPr>
          <m:num>
            <m:r>
              <m:rPr>
                <m:sty m:val="p"/>
              </m:rPr>
              <m:t>∂</m:t>
            </m:r>
            <m:r>
              <m:rPr>
                <m:scr m:val="script"/>
                <m:sty m:val="p"/>
              </m:rPr>
              <m:t>L</m:t>
            </m:r>
          </m:num>
          <m:den>
            <m:r>
              <m:rPr>
                <m:sty m:val="p"/>
              </m:rPr>
              <m:t>∂</m:t>
            </m:r>
            <m:r>
              <m:t>z</m:t>
            </m:r>
          </m:den>
        </m:f>
        <m:r>
          <m:rPr>
            <m:sty m:val="p"/>
          </m:rPr>
          <m:t>=</m:t>
        </m:r>
        <m:r>
          <m:t>σ</m:t>
        </m:r>
        <m:r>
          <m:rPr>
            <m:sty m:val="p"/>
          </m:rPr>
          <m:t>(</m:t>
        </m:r>
        <m:r>
          <m:t>z</m:t>
        </m:r>
        <m:r>
          <m:rPr>
            <m:sty m:val="p"/>
          </m:rPr>
          <m:t>)</m:t>
        </m:r>
        <m:r>
          <m:rPr>
            <m:sty m:val="p"/>
          </m:rPr>
          <m:t>−</m:t>
        </m:r>
        <m:r>
          <m:t>y</m:t>
        </m:r>
      </m:oMath>
      <w:r>
        <w:t xml:space="preserve">, which evaluates to exactly</w:t>
      </w:r>
      <w:r>
        <w:t xml:space="preserve"> </w:t>
      </w:r>
      <m:oMath>
        <m:r>
          <m:t>0.0</m:t>
        </m:r>
      </m:oMath>
      <w:r>
        <w:t xml:space="preserve"> </w:t>
      </w:r>
      <w:r>
        <w:t xml:space="preserve">for correctly predicted saturated examples (</w:t>
      </w:r>
      <m:oMath>
        <m:r>
          <m:t>y</m:t>
        </m:r>
        <m:r>
          <m:rPr>
            <m:sty m:val="p"/>
          </m:rPr>
          <m:t>=</m:t>
        </m:r>
        <m:r>
          <m:t>1</m:t>
        </m:r>
        <m:r>
          <m:rPr>
            <m:sty m:val="p"/>
          </m:rPr>
          <m:t>,</m:t>
        </m:r>
        <m:r>
          <m:t>z</m:t>
        </m:r>
        <m:r>
          <m:rPr>
            <m:sty m:val="p"/>
          </m:rPr>
          <m:t>≥</m:t>
        </m:r>
        <m:r>
          <m:t>16.64</m:t>
        </m:r>
      </m:oMath>
      <w:r>
        <w:t xml:space="preserve"> </w:t>
      </w:r>
      <w:r>
        <w:t xml:space="preserve">or</w:t>
      </w:r>
      <w:r>
        <w:t xml:space="preserve"> </w:t>
      </w:r>
      <m:oMath>
        <m:r>
          <m:t>y</m:t>
        </m:r>
        <m:r>
          <m:rPr>
            <m:sty m:val="p"/>
          </m:rPr>
          <m:t>=</m:t>
        </m:r>
        <m:r>
          <m:t>0</m:t>
        </m:r>
        <m:r>
          <m:rPr>
            <m:sty m:val="p"/>
          </m:rPr>
          <m:t>,</m:t>
        </m:r>
        <m:r>
          <m:t>z</m:t>
        </m:r>
        <m:r>
          <m:rPr>
            <m:sty m:val="p"/>
          </m:rPr>
          <m:t>≤</m:t>
        </m:r>
        <m:r>
          <m:rPr>
            <m:sty m:val="p"/>
          </m:rPr>
          <m:t>−</m:t>
        </m:r>
        <m:r>
          <m:t>16.64</m:t>
        </m:r>
      </m:oMath>
      <w:r>
        <w:t xml:space="preserve">). For incorrectly classified saturated examples, the logit gradient is</w:t>
      </w:r>
      <w:r>
        <w:t xml:space="preserve"> </w:t>
      </w:r>
      <m:oMath>
        <m:r>
          <m:rPr>
            <m:sty m:val="p"/>
          </m:rPr>
          <m:t>±</m:t>
        </m:r>
        <m:r>
          <m:t>1.0</m:t>
        </m:r>
      </m:oMath>
      <w:r>
        <w:t xml:space="preserve">, but downstream weight gradients depend on backpropagation through intermediate layers and recurrent weights. At test evaluation time, computing link probabilities via</w:t>
      </w:r>
      <w:r>
        <w:t xml:space="preserve"> </w:t>
      </w:r>
      <w:r>
        <w:rPr>
          <w:rStyle w:val="VerbatimChar"/>
        </w:rPr>
        <w:t xml:space="preserve">torch.sigmoid(logits)</w:t>
      </w:r>
      <w:r>
        <w:t xml:space="preserve"> </w:t>
      </w:r>
      <w:r>
        <w:t xml:space="preserve">maps any logit</w:t>
      </w:r>
      <w:r>
        <w:t xml:space="preserve"> </w:t>
      </w:r>
      <m:oMath>
        <m:r>
          <m:rPr>
            <m:sty m:val="p"/>
          </m:rPr>
          <m:t>|</m:t>
        </m:r>
        <m:r>
          <m:t>z</m:t>
        </m:r>
        <m:r>
          <m:rPr>
            <m:sty m:val="p"/>
          </m:rPr>
          <m:t>|</m:t>
        </m:r>
        <m:r>
          <m:rPr>
            <m:sty m:val="p"/>
          </m:rPr>
          <m:t>≥</m:t>
        </m:r>
        <m:r>
          <m:t>16.64</m:t>
        </m:r>
      </m:oMath>
      <w:r>
        <w:t xml:space="preserve"> </w:t>
      </w:r>
      <w:r>
        <w:t xml:space="preserve">to identically</w:t>
      </w:r>
      <w:r>
        <w:t xml:space="preserve"> </w:t>
      </w:r>
      <m:oMath>
        <m:r>
          <m:t>0.0</m:t>
        </m:r>
        <m:r>
          <m:t>f</m:t>
        </m:r>
      </m:oMath>
      <w:r>
        <w:t xml:space="preserve"> </w:t>
      </w:r>
      <w:r>
        <w:t xml:space="preserve">or</w:t>
      </w:r>
      <w:r>
        <w:t xml:space="preserve"> </w:t>
      </w:r>
      <m:oMath>
        <m:r>
          <m:t>1.0</m:t>
        </m:r>
        <m:r>
          <m:t>f</m:t>
        </m:r>
      </m:oMath>
      <w:r>
        <w:t xml:space="preserve">, collapsing continuous ranking capacity. Crucially, this finite-precision saturation is a mathematical property of the float32 representation in the saturated regime once extreme logits have emerged, rather than an independently demonstrated root cause of the initial optimization instability. We report these dynamics as empirical boundaries of the adapted EvolveGCN-H variant on raw dynamic network topologies.</w:t>
      </w:r>
      <w:r>
        <w:t xml:space="preserve"> </w:t>
      </w:r>
      <w:r>
        <w:t xml:space="preserve">4.</w:t>
      </w:r>
      <w:r>
        <w:t xml:space="preserve"> </w:t>
      </w:r>
      <w:r>
        <w:rPr>
          <w:b/>
          <w:bCs/>
        </w:rPr>
        <w:t xml:space="preserve">Audit of Training Diagnostics and Absence of Persisted Loss Logs:</w:t>
      </w:r>
      <w:r>
        <w:t xml:space="preserve"> </w:t>
      </w:r>
      <w:r>
        <w:t xml:space="preserve">In accordance with research integrity standards, we disclose that while final test metrics, continuous predictions, and degenerate predictions are archived in repository artifacts (</w:t>
      </w:r>
      <w:r>
        <w:rPr>
          <w:rStyle w:val="VerbatimChar"/>
        </w:rPr>
        <w:t xml:space="preserve">results/apex_ids2026/predictions/</w:t>
      </w:r>
      <w:r>
        <w:t xml:space="preserve"> </w:t>
      </w:r>
      <w:r>
        <w:t xml:space="preserve">and</w:t>
      </w:r>
      <w:r>
        <w:t xml:space="preserve"> </w:t>
      </w:r>
      <w:r>
        <w:rPr>
          <w:rStyle w:val="VerbatimChar"/>
        </w:rPr>
        <w:t xml:space="preserve">results/metrics/benchmark_five_seed_results.json</w:t>
      </w:r>
      <w:r>
        <w:t xml:space="preserve">), per-epoch training loss, validation loss, and step-wise gradient norm histories were recorded during exploratory diagnostic sessions rather than saved as permanent benchmark log files; model checkpoints contain exclusively raw parameter state dictionaries (</w:t>
      </w:r>
      <w:r>
        <w:rPr>
          <w:rStyle w:val="VerbatimChar"/>
        </w:rPr>
        <w:t xml:space="preserve">torch.nn.modules.container.Sequential</w:t>
      </w:r>
      <w:r>
        <w:t xml:space="preserve">,</w:t>
      </w:r>
      <w:r>
        <w:t xml:space="preserve"> </w:t>
      </w:r>
      <w:r>
        <w:rPr>
          <w:rStyle w:val="VerbatimChar"/>
        </w:rPr>
        <w:t xml:space="preserve">OrderedDict</w:t>
      </w:r>
      <w:r>
        <w:t xml:space="preserve"> </w:t>
      </w:r>
      <w:r>
        <w:t xml:space="preserve">of tensor weights and biases). Consequently, continuous training loss curves cannot be reconstructed from the available artifacts, and we adhere to research integrity standards by reporting this limitation transparently rather than simulating or fabricating unrecorded optimization histories.</w:t>
      </w:r>
    </w:p>
    <w:p>
      <w:r>
        <w:pict>
          <v:rect style="width:0;height:1.5pt" o:hralign="center" o:hrstd="t" o:hr="t"/>
        </w:pict>
      </w:r>
    </w:p>
    <w:bookmarkEnd w:id="60"/>
    <w:bookmarkEnd w:id="61"/>
    <w:bookmarkEnd w:id="62"/>
    <w:bookmarkStart w:id="86" w:name="discussion-scientific-insights"/>
    <w:p>
      <w:pPr>
        <w:pStyle w:val="Heading2"/>
      </w:pPr>
      <w:r>
        <w:t xml:space="preserve">6. Discussion &amp; Scientific Insights</w:t>
      </w:r>
    </w:p>
    <w:bookmarkStart w:id="63" w:name="X020e35c68e07402465a2a600eb5086df809efc5"/>
    <w:p>
      <w:pPr>
        <w:pStyle w:val="Heading3"/>
      </w:pPr>
      <w:r>
        <w:t xml:space="preserve">6.1 Evaluating Topological Dynamics and Assessing the Stasis Assumption in CIC-IDS2017</w:t>
      </w:r>
    </w:p>
    <w:p>
      <w:pPr>
        <w:pStyle w:val="FirstParagraph"/>
      </w:pPr>
      <w:r>
        <w:t xml:space="preserve">Prior literature and earlier preliminary audits hypothesized that CIC-IDS2017’s low baseline link prediction performance was attributable to topological stasis. Our multi-scale analysis counters this hypothesis for the evaluated capture:</w:t>
      </w:r>
      <w:r>
        <w:t xml:space="preserve"> </w:t>
      </w:r>
      <w:r>
        <w:rPr>
          <w:b/>
          <w:bCs/>
        </w:rPr>
        <w:t xml:space="preserve">CIC-IDS2017 exhibits higher edge novelty (68.09% daily) and higher turnover (81.61% Jaccard) than the 44-day enterprise APEX-IDS2026 stream (56.25% novelty, 72.71% turnover)</w:t>
      </w:r>
      <w:r>
        <w:t xml:space="preserve">. The low performance of historical memory heuristics on CIC-IDS2017 is empirically associated with rapid endpoint turnover and transient flow bursts over a brief five-day capture, which severely limits the historical context available to memory models, rather than proving a definitive causal explanation for GNN optimization behavior.</w:t>
      </w:r>
    </w:p>
    <w:bookmarkEnd w:id="63"/>
    <w:bookmarkStart w:id="67" w:name="X315d2074c55dec055083d22d1ba02500db35c82"/>
    <w:p>
      <w:pPr>
        <w:pStyle w:val="Heading3"/>
      </w:pPr>
      <w:r>
        <w:t xml:space="preserve">6.2 The Memory Failure Mechanism of Unbounded EdgeBank</w:t>
      </w:r>
    </w:p>
    <w:p>
      <w:pPr>
        <w:pStyle w:val="FirstParagraph"/>
      </w:pPr>
      <w:r>
        <w:t xml:space="preserve">Under Setting B (mixed random negatives), binary memory baselines achieve high precision (</w:t>
      </w:r>
      <m:oMath>
        <m:r>
          <m:t>99.95</m:t>
        </m:r>
        <m:r>
          <m:rPr>
            <m:sty m:val="p"/>
          </m:rPr>
          <m:t>%</m:t>
        </m:r>
      </m:oMath>
      <w:r>
        <w:t xml:space="preserve"> </w:t>
      </w:r>
      <w:r>
        <w:t xml:space="preserve">for EdgeBank-∞ and</w:t>
      </w:r>
      <w:r>
        <w:t xml:space="preserve"> </w:t>
      </w:r>
      <m:oMath>
        <m:r>
          <m:t>99.98</m:t>
        </m:r>
        <m:r>
          <m:rPr>
            <m:sty m:val="p"/>
          </m:rPr>
          <m:t>%</m:t>
        </m:r>
      </m:oMath>
      <w:r>
        <w:t xml:space="preserve"> </w:t>
      </w:r>
      <w:r>
        <w:t xml:space="preserve">for Persistence on APEX;</w:t>
      </w:r>
      <w:r>
        <w:t xml:space="preserve"> </w:t>
      </w:r>
      <m:oMath>
        <m:r>
          <m:t>99.87</m:t>
        </m:r>
        <m:r>
          <m:rPr>
            <m:sty m:val="p"/>
          </m:rPr>
          <m:t>%</m:t>
        </m:r>
      </m:oMath>
      <w:r>
        <w:t xml:space="preserve"> </w:t>
      </w:r>
      <w:r>
        <w:t xml:space="preserve">and</w:t>
      </w:r>
      <w:r>
        <w:t xml:space="preserve"> </w:t>
      </w:r>
      <m:oMath>
        <m:r>
          <m:t>99.93</m:t>
        </m:r>
        <m:r>
          <m:rPr>
            <m:sty m:val="p"/>
          </m:rPr>
          <m:t>%</m:t>
        </m:r>
      </m:oMath>
      <w:r>
        <w:t xml:space="preserve"> </w:t>
      </w:r>
      <w:r>
        <w:t xml:space="preserve">on CIC) and high F1 (</w:t>
      </w:r>
      <m:oMath>
        <m:r>
          <m:t>94.01</m:t>
        </m:r>
        <m:r>
          <m:rPr>
            <m:sty m:val="p"/>
          </m:rPr>
          <m:t>%</m:t>
        </m:r>
      </m:oMath>
      <w:r>
        <w:t xml:space="preserve"> </w:t>
      </w:r>
      <w:r>
        <w:t xml:space="preserve">and</w:t>
      </w:r>
      <w:r>
        <w:t xml:space="preserve"> </w:t>
      </w:r>
      <m:oMath>
        <m:r>
          <m:t>66.46</m:t>
        </m:r>
        <m:r>
          <m:rPr>
            <m:sty m:val="p"/>
          </m:rPr>
          <m:t>%</m:t>
        </m:r>
      </m:oMath>
      <w:r>
        <w:t xml:space="preserve"> </w:t>
      </w:r>
      <w:r>
        <w:t xml:space="preserve">on APEX;</w:t>
      </w:r>
      <w:r>
        <w:t xml:space="preserve"> </w:t>
      </w:r>
      <m:oMath>
        <m:r>
          <m:t>68.82</m:t>
        </m:r>
        <m:r>
          <m:rPr>
            <m:sty m:val="p"/>
          </m:rPr>
          <m:t>%</m:t>
        </m:r>
      </m:oMath>
      <w:r>
        <w:t xml:space="preserve"> </w:t>
      </w:r>
      <w:r>
        <w:t xml:space="preserve">and</w:t>
      </w:r>
      <w:r>
        <w:t xml:space="preserve"> </w:t>
      </w:r>
      <m:oMath>
        <m:r>
          <m:t>43.31</m:t>
        </m:r>
        <m:r>
          <m:rPr>
            <m:sty m:val="p"/>
          </m:rPr>
          <m:t>%</m:t>
        </m:r>
      </m:oMath>
      <w:r>
        <w:t xml:space="preserve"> </w:t>
      </w:r>
      <w:r>
        <w:t xml:space="preserve">on CIC). However, under Setting A (hard historical negatives), EdgeBank-∞ precision collapses to</w:t>
      </w:r>
      <w:r>
        <w:t xml:space="preserve"> </w:t>
      </w:r>
      <w:r>
        <w:rPr>
          <w:b/>
          <w:bCs/>
        </w:rPr>
        <w:t xml:space="preserve">47.02% on APEX and 34.43% on CIC</w:t>
      </w:r>
      <w:r>
        <w:t xml:space="preserve">—falling below 50% precision on the balanced 1:1 candidate benchmark.</w:t>
      </w:r>
    </w:p>
    <w:p>
      <w:pPr>
        <w:pStyle w:val="BodyText"/>
      </w:pPr>
      <w:r>
        <w:t xml:space="preserve">This failure follows directly from candidate sampling and prediction logic, as illustrated in Figure 9: in</w:t>
      </w:r>
      <w:r>
        <w:t xml:space="preserve"> </w:t>
      </w:r>
      <w:r>
        <w:rPr>
          <w:rStyle w:val="VerbatimChar"/>
        </w:rPr>
        <w:t xml:space="preserve">sample_hard_historical_negatives</w:t>
      </w:r>
      <w:r>
        <w:t xml:space="preserve">, hard negatives are sampled strictly from historically active channels that became inactive (</w:t>
      </w:r>
      <m:oMath>
        <m:sSub>
          <m:e>
            <m:r>
              <m:t>E</m:t>
            </m:r>
          </m:e>
          <m:sub>
            <m:r>
              <m:rPr>
                <m:sty m:val="p"/>
              </m:rPr>
              <m:t>≤</m:t>
            </m:r>
            <m:r>
              <m:t>t</m:t>
            </m:r>
          </m:sub>
        </m:sSub>
        <m:r>
          <m:rPr>
            <m:sty m:val="p"/>
          </m:rPr>
          <m:t>\</m:t>
        </m:r>
        <m:sSub>
          <m:e>
            <m:r>
              <m:t>E</m:t>
            </m:r>
          </m:e>
          <m:sub>
            <m:r>
              <m:t>t</m:t>
            </m:r>
            <m:r>
              <m:rPr>
                <m:sty m:val="p"/>
              </m:rPr>
              <m:t>+</m:t>
            </m:r>
            <m:r>
              <m:t>1</m:t>
            </m:r>
          </m:sub>
        </m:sSub>
      </m:oMath>
      <w:r>
        <w:t xml:space="preserve">). Because</w:t>
      </w:r>
      <w:r>
        <w:t xml:space="preserve"> </w:t>
      </w:r>
      <w:r>
        <w:rPr>
          <w:rStyle w:val="VerbatimChar"/>
        </w:rPr>
        <w:t xml:space="preserve">EdgeBankUnlimited</w:t>
      </w:r>
      <w:r>
        <w:t xml:space="preserve"> </w:t>
      </w:r>
      <w:r>
        <w:t xml:space="preserve">retains all historical edges without decay (</w:t>
      </w:r>
      <m:oMath>
        <m:acc>
          <m:accPr>
            <m:chr m:val="̂"/>
          </m:accPr>
          <m:e>
            <m:r>
              <m:t>y</m:t>
            </m:r>
          </m:e>
        </m:acc>
        <m:r>
          <m:rPr>
            <m:sty m:val="p"/>
          </m:rPr>
          <m:t>=</m:t>
        </m:r>
        <m:r>
          <m:t>1</m:t>
        </m:r>
        <m:r>
          <m:rPr>
            <m:sty m:val="p"/>
          </m:rPr>
          <m:t>⇔</m:t>
        </m:r>
        <m:r>
          <m:rPr>
            <m:sty m:val="p"/>
          </m:rPr>
          <m:t>(</m:t>
        </m:r>
        <m:r>
          <m:t>u</m:t>
        </m:r>
        <m:r>
          <m:rPr>
            <m:sty m:val="p"/>
          </m:rPr>
          <m:t>,</m:t>
        </m:r>
        <m:r>
          <m:t>v</m:t>
        </m:r>
        <m:r>
          <m:rPr>
            <m:sty m:val="p"/>
          </m:rPr>
          <m:t>)</m:t>
        </m:r>
        <m:r>
          <m:rPr>
            <m:sty m:val="p"/>
          </m:rPr>
          <m:t>∈</m:t>
        </m:r>
        <m:sSub>
          <m:e>
            <m:r>
              <m:t>E</m:t>
            </m:r>
          </m:e>
          <m:sub>
            <m:r>
              <m:rPr>
                <m:sty m:val="p"/>
              </m:rPr>
              <m:t>≤</m:t>
            </m:r>
            <m:r>
              <m:t>t</m:t>
            </m:r>
          </m:sub>
        </m:sSub>
      </m:oMath>
      <w:r>
        <w:t xml:space="preserve">), it scores 100% of sampled hard negatives as positive (</w:t>
      </w:r>
      <m:oMath>
        <m:r>
          <m:t>1.0</m:t>
        </m:r>
      </m:oMath>
      <w:r>
        <w:t xml:space="preserve">). Consequently, every sampled hard negative becomes a false positive (</w:t>
      </w:r>
      <m:oMath>
        <m:r>
          <m:t>F</m:t>
        </m:r>
        <m:r>
          <m:t>P</m:t>
        </m:r>
        <m:r>
          <m:rPr>
            <m:sty m:val="p"/>
          </m:rPr>
          <m:t>=</m:t>
        </m:r>
        <m:r>
          <m:rPr>
            <m:sty m:val="p"/>
          </m:rPr>
          <m:t>|</m:t>
        </m:r>
        <m:sSubSup>
          <m:e>
            <m:r>
              <m:t>E</m:t>
            </m:r>
          </m:e>
          <m:sub>
            <m:r>
              <m:rPr>
                <m:nor/>
                <m:sty m:val="p"/>
              </m:rPr>
              <m:t>neg</m:t>
            </m:r>
          </m:sub>
          <m:sup>
            <m:r>
              <m:rPr>
                <m:nor/>
                <m:sty m:val="p"/>
              </m:rPr>
              <m:t>hard</m:t>
            </m:r>
          </m:sup>
        </m:sSubSup>
        <m:r>
          <m:rPr>
            <m:sty m:val="p"/>
          </m:rPr>
          <m:t>|</m:t>
        </m:r>
      </m:oMath>
      <w:r>
        <w:t xml:space="preserve">, yielding zero specificity and zero true negatives,</w:t>
      </w:r>
      <w:r>
        <w:t xml:space="preserve"> </w:t>
      </w:r>
      <m:oMath>
        <m:r>
          <m:t>T</m:t>
        </m:r>
        <m:r>
          <m:t>N</m:t>
        </m:r>
        <m:r>
          <m:rPr>
            <m:sty m:val="p"/>
          </m:rPr>
          <m:t>=</m:t>
        </m:r>
        <m:r>
          <m:t>0</m:t>
        </m:r>
      </m:oMath>
      <w:r>
        <w:t xml:space="preserve">).</w:t>
      </w:r>
    </w:p>
    <w:p>
      <w:pPr>
        <w:pStyle w:val="BodyText"/>
      </w:pPr>
      <w:r>
        <w:t xml:space="preserve">On the CIC-IDS2017 Day 4 test transition, exactly</w:t>
      </w:r>
      <w:r>
        <w:t xml:space="preserve"> </w:t>
      </w:r>
      <m:oMath>
        <m:r>
          <m:t>K</m:t>
        </m:r>
        <m:r>
          <m:rPr>
            <m:sty m:val="p"/>
          </m:rPr>
          <m:t>=</m:t>
        </m:r>
        <m:r>
          <m:t>2</m:t>
        </m:r>
        <m:r>
          <m:rPr>
            <m:sty m:val="p"/>
          </m:rPr>
          <m:t>,</m:t>
        </m:r>
        <m:r>
          <m:t>000</m:t>
        </m:r>
      </m:oMath>
      <w:r>
        <w:t xml:space="preserve"> </w:t>
      </w:r>
      <w:r>
        <w:t xml:space="preserve">positive candidates are evaluated (of which exactly 1,050 were previously observed in Days 0–2 training/validation telemetry, yielding</w:t>
      </w:r>
      <w:r>
        <w:t xml:space="preserve"> </w:t>
      </w:r>
      <m:oMath>
        <m:r>
          <m:t>T</m:t>
        </m:r>
        <m:r>
          <m:t>P</m:t>
        </m:r>
        <m:r>
          <m:rPr>
            <m:sty m:val="p"/>
          </m:rPr>
          <m:t>=</m:t>
        </m:r>
        <m:r>
          <m:t>1</m:t>
        </m:r>
        <m:r>
          <m:rPr>
            <m:sty m:val="p"/>
          </m:rPr>
          <m:t>,</m:t>
        </m:r>
        <m:r>
          <m:t>050</m:t>
        </m:r>
      </m:oMath>
      <w:r>
        <w:t xml:space="preserve"> </w:t>
      </w:r>
      <w:r>
        <w:t xml:space="preserve">and</w:t>
      </w:r>
      <w:r>
        <w:t xml:space="preserve"> </w:t>
      </w:r>
      <m:oMath>
        <m:r>
          <m:t>F</m:t>
        </m:r>
        <m:r>
          <m:t>N</m:t>
        </m:r>
        <m:r>
          <m:rPr>
            <m:sty m:val="p"/>
          </m:rPr>
          <m:t>=</m:t>
        </m:r>
        <m:r>
          <m:t>950</m:t>
        </m:r>
      </m:oMath>
      <w:r>
        <w:t xml:space="preserve">) alongside</w:t>
      </w:r>
      <w:r>
        <w:t xml:space="preserve"> </w:t>
      </w:r>
      <m:oMath>
        <m:r>
          <m:t>K</m:t>
        </m:r>
        <m:r>
          <m:rPr>
            <m:sty m:val="p"/>
          </m:rPr>
          <m:t>=</m:t>
        </m:r>
        <m:r>
          <m:t>2</m:t>
        </m:r>
        <m:r>
          <m:rPr>
            <m:sty m:val="p"/>
          </m:rPr>
          <m:t>,</m:t>
        </m:r>
        <m:r>
          <m:t>000</m:t>
        </m:r>
      </m:oMath>
      <w:r>
        <w:t xml:space="preserve"> </w:t>
      </w:r>
      <w:r>
        <w:t xml:space="preserve">sampled hard negatives. Because EdgeBank-∞ predicts positive for all historical edges,</w:t>
      </w:r>
      <w:r>
        <w:t xml:space="preserve"> </w:t>
      </w:r>
      <m:oMath>
        <m:r>
          <m:t>F</m:t>
        </m:r>
        <m:r>
          <m:t>P</m:t>
        </m:r>
        <m:r>
          <m:rPr>
            <m:sty m:val="p"/>
          </m:rPr>
          <m:t>=</m:t>
        </m:r>
        <m:r>
          <m:t>2</m:t>
        </m:r>
        <m:r>
          <m:rPr>
            <m:sty m:val="p"/>
          </m:rPr>
          <m:t>,</m:t>
        </m:r>
        <m:r>
          <m:t>000</m:t>
        </m:r>
      </m:oMath>
      <w:r>
        <w:t xml:space="preserve"> </w:t>
      </w:r>
      <w:r>
        <w:t xml:space="preserve">identically for every seed regardless of which specific inactive edges are sampled. This produces an identical per-seed precision of</w:t>
      </w:r>
      <w:r>
        <w:t xml:space="preserve"> </w:t>
      </w:r>
      <m:oMath>
        <m:r>
          <m:t>T</m:t>
        </m:r>
        <m:r>
          <m:t>P</m:t>
        </m:r>
        <m:r>
          <m:rPr>
            <m:sty m:val="p"/>
          </m:rPr>
          <m:t>/</m:t>
        </m:r>
        <m:r>
          <m:rPr>
            <m:sty m:val="p"/>
          </m:rPr>
          <m:t>(</m:t>
        </m:r>
        <m:r>
          <m:t>T</m:t>
        </m:r>
        <m:r>
          <m:t>P</m:t>
        </m:r>
        <m:r>
          <m:rPr>
            <m:sty m:val="p"/>
          </m:rPr>
          <m:t>+</m:t>
        </m:r>
        <m:r>
          <m:t>F</m:t>
        </m:r>
        <m:r>
          <m:t>P</m:t>
        </m:r>
        <m:r>
          <m:rPr>
            <m:sty m:val="p"/>
          </m:rPr>
          <m:t>)</m:t>
        </m:r>
        <m:r>
          <m:rPr>
            <m:sty m:val="p"/>
          </m:rPr>
          <m:t>=</m:t>
        </m:r>
        <m:r>
          <m:t>1050</m:t>
        </m:r>
        <m:r>
          <m:rPr>
            <m:sty m:val="p"/>
          </m:rPr>
          <m:t>/</m:t>
        </m:r>
        <m:r>
          <m:rPr>
            <m:sty m:val="p"/>
          </m:rPr>
          <m:t>(</m:t>
        </m:r>
        <m:r>
          <m:t>1050</m:t>
        </m:r>
        <m:r>
          <m:rPr>
            <m:sty m:val="p"/>
          </m:rPr>
          <m:t>+</m:t>
        </m:r>
        <m:r>
          <m:t>2000</m:t>
        </m:r>
        <m:r>
          <m:rPr>
            <m:sty m:val="p"/>
          </m:rPr>
          <m:t>)</m:t>
        </m:r>
        <m:r>
          <m:rPr>
            <m:sty m:val="p"/>
          </m:rPr>
          <m:t>=</m:t>
        </m:r>
        <m:r>
          <m:t>34.43</m:t>
        </m:r>
        <m:r>
          <m:rPr>
            <m:sty m:val="p"/>
          </m:rPr>
          <m:t>%</m:t>
        </m:r>
      </m:oMath>
      <w:r>
        <w:t xml:space="preserve"> </w:t>
      </w:r>
      <w:r>
        <w:t xml:space="preserve">(</w:t>
      </w:r>
      <m:oMath>
        <m:r>
          <m:rPr>
            <m:sty m:val="p"/>
          </m:rPr>
          <m:t>±</m:t>
        </m:r>
        <m:r>
          <m:t>0.00</m:t>
        </m:r>
        <m:r>
          <m:rPr>
            <m:sty m:val="p"/>
          </m:rPr>
          <m:t>%</m:t>
        </m:r>
      </m:oMath>
      <w:r>
        <w:t xml:space="preserve"> </w:t>
      </w:r>
      <w:r>
        <w:t xml:space="preserve">std across all five seeds). Similarly, on APEX-IDS2026 across 12 test transitions, all</w:t>
      </w:r>
      <w:r>
        <w:t xml:space="preserve"> </w:t>
      </w:r>
      <m:oMath>
        <m:r>
          <m:t>24</m:t>
        </m:r>
        <m:r>
          <m:rPr>
            <m:sty m:val="p"/>
          </m:rPr>
          <m:t>,</m:t>
        </m:r>
        <m:r>
          <m:t>000</m:t>
        </m:r>
      </m:oMath>
      <w:r>
        <w:t xml:space="preserve"> </w:t>
      </w:r>
      <w:r>
        <w:t xml:space="preserve">sampled hard negatives become false positives (</w:t>
      </w:r>
      <m:oMath>
        <m:r>
          <m:t>F</m:t>
        </m:r>
        <m:r>
          <m:t>P</m:t>
        </m:r>
        <m:r>
          <m:rPr>
            <m:sty m:val="p"/>
          </m:rPr>
          <m:t>=</m:t>
        </m:r>
        <m:r>
          <m:t>2</m:t>
        </m:r>
        <m:r>
          <m:rPr>
            <m:sty m:val="p"/>
          </m:rPr>
          <m:t>,</m:t>
        </m:r>
        <m:r>
          <m:t>000</m:t>
        </m:r>
      </m:oMath>
      <w:r>
        <w:t xml:space="preserve"> </w:t>
      </w:r>
      <w:r>
        <w:t xml:space="preserve">per transition,</w:t>
      </w:r>
      <w:r>
        <w:t xml:space="preserve"> </w:t>
      </w:r>
      <m:oMath>
        <m:r>
          <m:t>T</m:t>
        </m:r>
        <m:r>
          <m:t>N</m:t>
        </m:r>
        <m:r>
          <m:rPr>
            <m:sty m:val="p"/>
          </m:rPr>
          <m:t>=</m:t>
        </m:r>
        <m:r>
          <m:t>0</m:t>
        </m:r>
      </m:oMath>
      <w:r>
        <w:t xml:space="preserve">), yielding a per-seed mean precision of</w:t>
      </w:r>
      <w:r>
        <w:t xml:space="preserve"> </w:t>
      </w:r>
      <m:oMath>
        <m:r>
          <m:t>47.02</m:t>
        </m:r>
        <m:r>
          <m:rPr>
            <m:sty m:val="p"/>
          </m:rPr>
          <m:t>%</m:t>
        </m:r>
        <m:r>
          <m:rPr>
            <m:sty m:val="p"/>
          </m:rPr>
          <m:t>±</m:t>
        </m:r>
        <m:r>
          <m:t>0.00</m:t>
        </m:r>
        <m:r>
          <m:rPr>
            <m:sty m:val="p"/>
          </m:rPr>
          <m:t>%</m:t>
        </m:r>
      </m:oMath>
      <w:r>
        <w:t xml:space="preserve">. This demonstrates that unconstrained memory retention becomes actively counterproductive under hard link-extinction conditions.</w:t>
      </w:r>
    </w:p>
    <w:p>
      <w:pPr>
        <w:pStyle w:val="BodyText"/>
      </w:pPr>
      <w:r>
        <w:drawing>
          <wp:inline>
            <wp:extent cx="5334000" cy="2072936"/>
            <wp:effectExtent b="0" l="0" r="0" t="0"/>
            <wp:docPr descr="Figure 9: Confusion Matrix Composition of Memory Baselines across Evaluation Settings" title="" id="65" name="Picture"/>
            <a:graphic>
              <a:graphicData uri="http://schemas.openxmlformats.org/drawingml/2006/picture">
                <pic:pic>
                  <pic:nvPicPr>
                    <pic:cNvPr descr="../figures/fig09_memory_failure_confusion_matrices.png" id="66" name="Picture"/>
                    <pic:cNvPicPr>
                      <a:picLocks noChangeArrowheads="1" noChangeAspect="1"/>
                    </pic:cNvPicPr>
                  </pic:nvPicPr>
                  <pic:blipFill>
                    <a:blip r:embed="rId64"/>
                    <a:stretch>
                      <a:fillRect/>
                    </a:stretch>
                  </pic:blipFill>
                  <pic:spPr bwMode="auto">
                    <a:xfrm>
                      <a:off x="0" y="0"/>
                      <a:ext cx="5334000" cy="2072936"/>
                    </a:xfrm>
                    <a:prstGeom prst="rect">
                      <a:avLst/>
                    </a:prstGeom>
                    <a:noFill/>
                    <a:ln w="9525">
                      <a:noFill/>
                      <a:headEnd/>
                      <a:tailEnd/>
                    </a:ln>
                  </pic:spPr>
                </pic:pic>
              </a:graphicData>
            </a:graphic>
          </wp:inline>
        </w:drawing>
      </w:r>
      <w:r>
        <w:br/>
      </w:r>
      <w:r>
        <w:rPr>
          <w:i/>
          <w:iCs/>
        </w:rPr>
        <w:t xml:space="preserve">Figure 9: Confusion matrix composition (True Positives, False Positives, True Negatives, False Negatives) for Persistence, EdgeBank-∞ (binary), and EdgeBank-tw (</w:t>
      </w:r>
      <m:oMath>
        <m:r>
          <m:t>W</m:t>
        </m:r>
        <m:r>
          <m:rPr>
            <m:sty m:val="p"/>
          </m:rPr>
          <m:t>=</m:t>
        </m:r>
        <m:r>
          <m:t>2</m:t>
        </m:r>
      </m:oMath>
      <w:r>
        <w:rPr>
          <w:i/>
          <w:iCs/>
        </w:rPr>
        <w:t xml:space="preserve">) on CIC-IDS2017. (A) Under Setting A (Hard Historical Negatives), EdgeBank-∞ yields zero True Negatives (</w:t>
      </w:r>
      <m:oMath>
        <m:r>
          <m:t>T</m:t>
        </m:r>
        <m:r>
          <m:t>N</m:t>
        </m:r>
        <m:r>
          <m:rPr>
            <m:sty m:val="p"/>
          </m:rPr>
          <m:t>=</m:t>
        </m:r>
        <m:r>
          <m:t>0</m:t>
        </m:r>
        <m:r>
          <m:rPr>
            <m:sty m:val="p"/>
          </m:rPr>
          <m:t>,</m:t>
        </m:r>
        <m:r>
          <m:t>F</m:t>
        </m:r>
        <m:r>
          <m:t>P</m:t>
        </m:r>
        <m:r>
          <m:rPr>
            <m:sty m:val="p"/>
          </m:rPr>
          <m:t>=</m:t>
        </m:r>
        <m:r>
          <m:t>2000</m:t>
        </m:r>
      </m:oMath>
      <w:r>
        <w:rPr>
          <w:i/>
          <w:iCs/>
        </w:rPr>
        <w:t xml:space="preserve">), causing precision to collapse to 34.43%. (B) Under Setting B (Mixed Random Negatives), random non-edges are easily recognized as absent from history, creating near-zero False Positives (</w:t>
      </w:r>
      <m:oMath>
        <m:r>
          <m:t>F</m:t>
        </m:r>
        <m:r>
          <m:t>P</m:t>
        </m:r>
        <m:r>
          <m:rPr>
            <m:sty m:val="p"/>
          </m:rPr>
          <m:t>≤</m:t>
        </m:r>
        <m:r>
          <m:t>3</m:t>
        </m:r>
      </m:oMath>
      <w:r>
        <w:rPr>
          <w:i/>
          <w:iCs/>
        </w:rPr>
        <w:t xml:space="preserve">) and an illusion of near-100% precision.</w:t>
      </w:r>
    </w:p>
    <w:bookmarkEnd w:id="67"/>
    <w:bookmarkStart w:id="68" w:name="Xc97c766ecf9ff7a22c77d4eb325a0516cd9dfc4"/>
    <w:p>
      <w:pPr>
        <w:pStyle w:val="Heading3"/>
      </w:pPr>
      <w:r>
        <w:t xml:space="preserve">6.3 Sliding-Window Memory as the Optimal Enterprise Baseline</w:t>
      </w:r>
    </w:p>
    <w:p>
      <w:pPr>
        <w:pStyle w:val="FirstParagraph"/>
      </w:pPr>
      <w:r>
        <w:t xml:space="preserve">On continuous enterprise telemetry (APEX-IDS2026),</w:t>
      </w:r>
      <w:r>
        <w:t xml:space="preserve"> </w:t>
      </w:r>
      <w:r>
        <w:rPr>
          <w:rStyle w:val="VerbatimChar"/>
        </w:rPr>
        <w:t xml:space="preserve">EdgeBank-tw(W=2)</w:t>
      </w:r>
      <w:r>
        <w:t xml:space="preserve"> </w:t>
      </w:r>
      <w:r>
        <w:t xml:space="preserve">achieves the highest overall performance under Setting A (</w:t>
      </w:r>
      <m:oMath>
        <m:r>
          <m:t>69.78</m:t>
        </m:r>
        <m:r>
          <m:rPr>
            <m:sty m:val="p"/>
          </m:rPr>
          <m:t>%</m:t>
        </m:r>
        <m:r>
          <m:rPr>
            <m:sty m:val="p"/>
          </m:rPr>
          <m:t>±</m:t>
        </m:r>
        <m:r>
          <m:t>0.08</m:t>
        </m:r>
        <m:r>
          <m:rPr>
            <m:sty m:val="p"/>
          </m:rPr>
          <m:t>%</m:t>
        </m:r>
      </m:oMath>
      <w:r>
        <w:rPr>
          <w:b/>
          <w:bCs/>
        </w:rPr>
        <w:t xml:space="preserve"> </w:t>
      </w:r>
      <w:r>
        <w:rPr>
          <w:b/>
          <w:bCs/>
        </w:rPr>
        <w:t xml:space="preserve">F1</w:t>
      </w:r>
      <w:r>
        <w:t xml:space="preserve">,</w:t>
      </w:r>
      <w:r>
        <w:t xml:space="preserve"> </w:t>
      </w:r>
      <m:oMath>
        <m:r>
          <m:t>85.04</m:t>
        </m:r>
        <m:r>
          <m:rPr>
            <m:sty m:val="p"/>
          </m:rPr>
          <m:t>%</m:t>
        </m:r>
      </m:oMath>
      <w:r>
        <w:t xml:space="preserve"> </w:t>
      </w:r>
      <w:r>
        <w:t xml:space="preserve">precision,</w:t>
      </w:r>
      <w:r>
        <w:t xml:space="preserve"> </w:t>
      </w:r>
      <m:oMath>
        <m:r>
          <m:t>60.01</m:t>
        </m:r>
        <m:r>
          <m:rPr>
            <m:sty m:val="p"/>
          </m:rPr>
          <m:t>%</m:t>
        </m:r>
      </m:oMath>
      <w:r>
        <w:t xml:space="preserve"> </w:t>
      </w:r>
      <w:r>
        <w:t xml:space="preserve">recall), outperforming both Persistence (</w:t>
      </w:r>
      <m:oMath>
        <m:r>
          <m:t>64.09</m:t>
        </m:r>
        <m:r>
          <m:rPr>
            <m:sty m:val="p"/>
          </m:rPr>
          <m:t>%</m:t>
        </m:r>
      </m:oMath>
      <w:r>
        <w:t xml:space="preserve"> </w:t>
      </w:r>
      <w:r>
        <w:t xml:space="preserve">F1) and EdgeBank-∞ (</w:t>
      </w:r>
      <m:oMath>
        <m:r>
          <m:t>61.47</m:t>
        </m:r>
        <m:r>
          <m:rPr>
            <m:sty m:val="p"/>
          </m:rPr>
          <m:t>%</m:t>
        </m:r>
      </m:oMath>
      <w:r>
        <w:t xml:space="preserve"> </w:t>
      </w:r>
      <w:r>
        <w:t xml:space="preserve">F1). A finite memory window provides the necessary forgetting mechanism to balance channel recurrence against extinction.</w:t>
      </w:r>
    </w:p>
    <w:bookmarkEnd w:id="68"/>
    <w:bookmarkStart w:id="69" w:name="Xcd8386ae70fcb0913b5cd4a142869e156e71cd9"/>
    <w:p>
      <w:pPr>
        <w:pStyle w:val="Heading3"/>
      </w:pPr>
      <w:r>
        <w:t xml:space="preserve">6.4 Topological Proximity Signals in High-Churn Regimes</w:t>
      </w:r>
    </w:p>
    <w:p>
      <w:pPr>
        <w:pStyle w:val="FirstParagraph"/>
      </w:pPr>
      <w:r>
        <w:t xml:space="preserve">On CIC-IDS2017 under Setting A,</w:t>
      </w:r>
      <w:r>
        <w:t xml:space="preserve"> </w:t>
      </w:r>
      <w:r>
        <w:rPr>
          <w:b/>
          <w:bCs/>
        </w:rPr>
        <w:t xml:space="preserve">Common Neighbors achieves the highest F1 (</w:t>
      </w:r>
      <m:oMath>
        <m:r>
          <m:t>45.24</m:t>
        </m:r>
        <m:r>
          <m:rPr>
            <m:sty m:val="p"/>
          </m:rPr>
          <m:t>%</m:t>
        </m:r>
        <m:r>
          <m:rPr>
            <m:sty m:val="p"/>
          </m:rPr>
          <m:t>±</m:t>
        </m:r>
        <m:r>
          <m:t>0.24</m:t>
        </m:r>
        <m:r>
          <m:rPr>
            <m:sty m:val="p"/>
          </m:rPr>
          <m:t>%</m:t>
        </m:r>
      </m:oMath>
      <w:r>
        <w:rPr>
          <w:b/>
          <w:bCs/>
        </w:rPr>
        <w:t xml:space="preserve">) and precision (</w:t>
      </w:r>
      <m:oMath>
        <m:r>
          <m:t>62.97</m:t>
        </m:r>
        <m:r>
          <m:rPr>
            <m:sty m:val="p"/>
          </m:rPr>
          <m:t>%</m:t>
        </m:r>
        <m:r>
          <m:rPr>
            <m:sty m:val="p"/>
          </m:rPr>
          <m:t>±</m:t>
        </m:r>
        <m:r>
          <m:t>0.91</m:t>
        </m:r>
        <m:r>
          <m:rPr>
            <m:sty m:val="p"/>
          </m:rPr>
          <m:t>%</m:t>
        </m:r>
      </m:oMath>
      <w:r>
        <w:rPr>
          <w:b/>
          <w:bCs/>
        </w:rPr>
        <w:t xml:space="preserve">), outperforming Persistence (</w:t>
      </w:r>
      <m:oMath>
        <m:r>
          <m:t>35.22</m:t>
        </m:r>
        <m:r>
          <m:rPr>
            <m:sty m:val="p"/>
          </m:rPr>
          <m:t>%</m:t>
        </m:r>
      </m:oMath>
      <w:r>
        <w:rPr>
          <w:b/>
          <w:bCs/>
        </w:rPr>
        <w:t xml:space="preserve"> </w:t>
      </w:r>
      <w:r>
        <w:rPr>
          <w:b/>
          <w:bCs/>
        </w:rPr>
        <w:t xml:space="preserve">F1,</w:t>
      </w:r>
      <w:r>
        <w:rPr>
          <w:b/>
          <w:bCs/>
        </w:rPr>
        <w:t xml:space="preserve"> </w:t>
      </w:r>
      <m:oMath>
        <m:r>
          <m:t>48.50</m:t>
        </m:r>
        <m:r>
          <m:rPr>
            <m:sty m:val="p"/>
          </m:rPr>
          <m:t>%</m:t>
        </m:r>
      </m:oMath>
      <w:r>
        <w:rPr>
          <w:b/>
          <w:bCs/>
        </w:rPr>
        <w:t xml:space="preserve"> </w:t>
      </w:r>
      <w:r>
        <w:rPr>
          <w:b/>
          <w:bCs/>
        </w:rPr>
        <w:t xml:space="preserve">precision)</w:t>
      </w:r>
      <w:r>
        <w:t xml:space="preserve">. When temporal memory is impaired by high edge novelty, structural triadic proximity in the current snapshot provides a stronger predictive signal than past snapshot state.</w:t>
      </w:r>
    </w:p>
    <w:bookmarkEnd w:id="69"/>
    <w:bookmarkStart w:id="73" w:name="X93ee863f66d57c75c819c4c55f69347aa1fe311"/>
    <w:p>
      <w:pPr>
        <w:pStyle w:val="Heading3"/>
      </w:pPr>
      <w:r>
        <w:t xml:space="preserve">6.5 Empirical Audit of Topology Whitelisting &amp; Anomaly Detection</w:t>
      </w:r>
    </w:p>
    <w:p>
      <w:pPr>
        <w:pStyle w:val="FirstParagraph"/>
      </w:pPr>
      <w:r>
        <w:t xml:space="preserve">Prior preliminary drafts of graph-based intrusion frameworks posited that</w:t>
      </w:r>
      <w:r>
        <w:t xml:space="preserve"> </w:t>
      </w:r>
      <w:r>
        <w:t xml:space="preserve">“topology grammar”</w:t>
      </w:r>
      <w:r>
        <w:t xml:space="preserve"> </w:t>
      </w:r>
      <w:r>
        <w:t xml:space="preserve">or structural whitelisting could effectively isolate legitimate network behavior from anomalies by extracting permissible edges from benign snapshots. However, empirical evaluation on actual telemetry directly refutes this premise.</w:t>
      </w:r>
    </w:p>
    <w:p>
      <w:pPr>
        <w:pStyle w:val="BodyText"/>
      </w:pPr>
      <w:r>
        <w:t xml:space="preserve">As shown in Figure 10, when a static structural whitelist extracted from benign training intervals was evaluated against subsequent test telemetry on CIC-IDS2017 (</w:t>
      </w:r>
      <w:r>
        <w:rPr>
          <w:rStyle w:val="VerbatimChar"/>
        </w:rPr>
        <w:t xml:space="preserve">results/metrics/cic_ids_grammar_real.csv</w:t>
      </w:r>
      <w:r>
        <w:t xml:space="preserve">), exactly</w:t>
      </w:r>
      <w:r>
        <w:t xml:space="preserve"> </w:t>
      </w:r>
      <w:r>
        <w:rPr>
          <w:b/>
          <w:bCs/>
        </w:rPr>
        <w:t xml:space="preserve">93 legitimate transitions were accepted while 983 legitimate transitions were rejected as</w:t>
      </w:r>
      <w:r>
        <w:rPr>
          <w:b/>
          <w:bCs/>
        </w:rPr>
        <w:t xml:space="preserve"> </w:t>
      </w:r>
      <w:r>
        <w:rPr>
          <w:b/>
          <w:bCs/>
        </w:rPr>
        <w:t xml:space="preserve">“anomalies”</w:t>
      </w:r>
      <w:r>
        <w:t xml:space="preserve">—representing an overwhelming</w:t>
      </w:r>
      <w:r>
        <w:t xml:space="preserve"> </w:t>
      </w:r>
      <w:r>
        <w:rPr>
          <w:b/>
          <w:bCs/>
        </w:rPr>
        <w:t xml:space="preserve">91.4% false-positive rejection rate on benign traffic</w:t>
      </w:r>
      <w:r>
        <w:t xml:space="preserve">, while 0 malicious transitions were observed or evaluated. Because normal network telemetry exhibits high daily edge novelty (</w:t>
      </w:r>
      <m:oMath>
        <m:r>
          <m:t>68.09</m:t>
        </m:r>
        <m:r>
          <m:rPr>
            <m:sty m:val="p"/>
          </m:rPr>
          <m:t>%</m:t>
        </m:r>
      </m:oMath>
      <w:r>
        <w:t xml:space="preserve"> </w:t>
      </w:r>
      <w:r>
        <w:t xml:space="preserve">on CIC-IDS2017 and</w:t>
      </w:r>
      <w:r>
        <w:t xml:space="preserve"> </w:t>
      </w:r>
      <m:oMath>
        <m:r>
          <m:t>56.25</m:t>
        </m:r>
        <m:r>
          <m:rPr>
            <m:sty m:val="p"/>
          </m:rPr>
          <m:t>%</m:t>
        </m:r>
      </m:oMath>
      <w:r>
        <w:t xml:space="preserve"> </w:t>
      </w:r>
      <w:r>
        <w:t xml:space="preserve">on APEX-IDS2026), benign host communications continually form novel endpoint connections. Rigid topological whitelists inevitably suffer from catastrophic false-alarm rates, confirming Axelsson’s base-rate fallacy (2000) in structural dynamic network domains.</w:t>
      </w:r>
    </w:p>
    <w:p>
      <w:pPr>
        <w:pStyle w:val="BodyText"/>
      </w:pPr>
      <w:r>
        <w:drawing>
          <wp:inline>
            <wp:extent cx="5334000" cy="3170593"/>
            <wp:effectExtent b="0" l="0" r="0" t="0"/>
            <wp:docPr descr="Figure 10: Empirical Evaluation of Topology Whitelist / Grammar Rejection on CIC-IDS2017" title="" id="71" name="Picture"/>
            <a:graphic>
              <a:graphicData uri="http://schemas.openxmlformats.org/drawingml/2006/picture">
                <pic:pic>
                  <pic:nvPicPr>
                    <pic:cNvPr descr="../figures/fig10_topology_whitelist_failure_audit.png" id="72" name="Picture"/>
                    <pic:cNvPicPr>
                      <a:picLocks noChangeArrowheads="1" noChangeAspect="1"/>
                    </pic:cNvPicPr>
                  </pic:nvPicPr>
                  <pic:blipFill>
                    <a:blip r:embed="rId70"/>
                    <a:stretch>
                      <a:fillRect/>
                    </a:stretch>
                  </pic:blipFill>
                  <pic:spPr bwMode="auto">
                    <a:xfrm>
                      <a:off x="0" y="0"/>
                      <a:ext cx="5334000" cy="3170593"/>
                    </a:xfrm>
                    <a:prstGeom prst="rect">
                      <a:avLst/>
                    </a:prstGeom>
                    <a:noFill/>
                    <a:ln w="9525">
                      <a:noFill/>
                      <a:headEnd/>
                      <a:tailEnd/>
                    </a:ln>
                  </pic:spPr>
                </pic:pic>
              </a:graphicData>
            </a:graphic>
          </wp:inline>
        </w:drawing>
      </w:r>
      <w:r>
        <w:br/>
      </w:r>
      <w:r>
        <w:rPr>
          <w:i/>
          <w:iCs/>
        </w:rPr>
        <w:t xml:space="preserve">Figure 10: Empirical evaluation of static topological whitelisting (</w:t>
      </w:r>
      <w:r>
        <w:rPr>
          <w:i/>
          <w:iCs/>
        </w:rPr>
        <w:t xml:space="preserve">“grammar evolution”</w:t>
      </w:r>
      <w:r>
        <w:rPr>
          <w:i/>
          <w:iCs/>
        </w:rPr>
        <w:t xml:space="preserve">) on CIC-IDS2017. Due to high edge novelty, 983 of 1,076 legitimate edges (91.4%) are falsely rejected as anomalies, demonstrating the fundamental failure mode of static whitelisting in high-churn network environments.</w:t>
      </w:r>
    </w:p>
    <w:bookmarkEnd w:id="73"/>
    <w:bookmarkStart w:id="77" w:name="Xbaf51283acc406144100eb65a4454016b8bb813"/>
    <w:p>
      <w:pPr>
        <w:pStyle w:val="Heading3"/>
      </w:pPr>
      <w:r>
        <w:t xml:space="preserve">6.6 Resolving Threshold-Specific Artifacts vs. Continuous Ranking Capacity</w:t>
      </w:r>
    </w:p>
    <w:p>
      <w:pPr>
        <w:pStyle w:val="FirstParagraph"/>
      </w:pPr>
      <w:r>
        <w:t xml:space="preserve">A critical methodological finding of this benchmark is the risk of conflating thresholded binary metrics with underlying predictive ranking capacity. As visualized in Figure 11, imposing a default decision threshold of</w:t>
      </w:r>
      <w:r>
        <w:t xml:space="preserve"> </w:t>
      </w:r>
      <m:oMath>
        <m:r>
          <m:t>τ</m:t>
        </m:r>
        <m:r>
          <m:rPr>
            <m:sty m:val="p"/>
          </m:rPr>
          <m:t>=</m:t>
        </m:r>
        <m:r>
          <m:t>1.0</m:t>
        </m:r>
      </m:oMath>
      <w:r>
        <w:t xml:space="preserve"> </w:t>
      </w:r>
      <w:r>
        <w:t xml:space="preserve">(standard for count-based heuristics) on the Jaccard Coefficient classifies 100% of candidate pairs as negative, producing an apparent</w:t>
      </w:r>
      <w:r>
        <w:t xml:space="preserve"> </w:t>
      </w:r>
      <m:oMath>
        <m:r>
          <m:t>0.0</m:t>
        </m:r>
        <m:r>
          <m:rPr>
            <m:sty m:val="p"/>
          </m:rPr>
          <m:t>%</m:t>
        </m:r>
      </m:oMath>
      <w:r>
        <w:t xml:space="preserve"> </w:t>
      </w:r>
      <w:r>
        <w:t xml:space="preserve">F1. However, threshold-free continuous evaluation reveals that Jaccard achieves a competitive ROC-AUC of</w:t>
      </w:r>
      <w:r>
        <w:t xml:space="preserve"> </w:t>
      </w:r>
      <m:oMath>
        <m:r>
          <m:t>0.5856</m:t>
        </m:r>
        <m:r>
          <m:rPr>
            <m:sty m:val="p"/>
          </m:rPr>
          <m:t>±</m:t>
        </m:r>
        <m:r>
          <m:t>0.0052</m:t>
        </m:r>
      </m:oMath>
      <w:r>
        <w:t xml:space="preserve"> </w:t>
      </w:r>
      <w:r>
        <w:t xml:space="preserve">and Average Precision of</w:t>
      </w:r>
      <w:r>
        <w:t xml:space="preserve"> </w:t>
      </w:r>
      <m:oMath>
        <m:r>
          <m:t>0.5583</m:t>
        </m:r>
        <m:r>
          <m:rPr>
            <m:sty m:val="p"/>
          </m:rPr>
          <m:t>±</m:t>
        </m:r>
        <m:r>
          <m:t>0.0073</m:t>
        </m:r>
      </m:oMath>
      <w:r>
        <w:t xml:space="preserve"> </w:t>
      </w:r>
      <w:r>
        <w:t xml:space="preserve">under CIC-IDS2017 Setting A. Benchmarks must report threshold-free ranking metrics (ROC-AUC and Average Precision) alongside calibrated operational decision thresholds to avoid misdiagnosing continuous model capability as complete predictive failure.</w:t>
      </w:r>
    </w:p>
    <w:p>
      <w:pPr>
        <w:pStyle w:val="BodyText"/>
      </w:pPr>
      <w:r>
        <w:drawing>
          <wp:inline>
            <wp:extent cx="5334000" cy="2985684"/>
            <wp:effectExtent b="0" l="0" r="0" t="0"/>
            <wp:docPr descr="Figure 11: Continuous Ranking Capacity vs. Threshold-Specific Artifacts in Heuristic Baselines" title="" id="75" name="Picture"/>
            <a:graphic>
              <a:graphicData uri="http://schemas.openxmlformats.org/drawingml/2006/picture">
                <pic:pic>
                  <pic:nvPicPr>
                    <pic:cNvPr descr="../figures/fig11_continuous_vs_thresholded_heuristics.png" id="76" name="Picture"/>
                    <pic:cNvPicPr>
                      <a:picLocks noChangeArrowheads="1" noChangeAspect="1"/>
                    </pic:cNvPicPr>
                  </pic:nvPicPr>
                  <pic:blipFill>
                    <a:blip r:embed="rId74"/>
                    <a:stretch>
                      <a:fillRect/>
                    </a:stretch>
                  </pic:blipFill>
                  <pic:spPr bwMode="auto">
                    <a:xfrm>
                      <a:off x="0" y="0"/>
                      <a:ext cx="5334000" cy="2985684"/>
                    </a:xfrm>
                    <a:prstGeom prst="rect">
                      <a:avLst/>
                    </a:prstGeom>
                    <a:noFill/>
                    <a:ln w="9525">
                      <a:noFill/>
                      <a:headEnd/>
                      <a:tailEnd/>
                    </a:ln>
                  </pic:spPr>
                </pic:pic>
              </a:graphicData>
            </a:graphic>
          </wp:inline>
        </w:drawing>
      </w:r>
      <w:r>
        <w:br/>
      </w:r>
      <w:r>
        <w:rPr>
          <w:i/>
          <w:iCs/>
        </w:rPr>
        <w:t xml:space="preserve">Figure 11: Contrast between fixed-threshold F1-score (</w:t>
      </w:r>
      <m:oMath>
        <m:r>
          <m:t>τ</m:t>
        </m:r>
        <m:r>
          <m:rPr>
            <m:sty m:val="p"/>
          </m:rPr>
          <m:t>=</m:t>
        </m:r>
        <m:r>
          <m:t>1.0</m:t>
        </m:r>
      </m:oMath>
      <w:r>
        <w:rPr>
          <w:i/>
          <w:iCs/>
        </w:rPr>
        <w:t xml:space="preserve">, red) and continuous threshold-free ranking metrics (ROC-AUC in blue, Average Precision in green) for Common Neighbors, Adamic-Adar, and Jaccard Coefficient on CIC-IDS2017 Setting A. The plot demonstrates that Jaccard’s 0% F1 is strictly a threshold-induced artifact.</w:t>
      </w:r>
    </w:p>
    <w:bookmarkEnd w:id="77"/>
    <w:bookmarkStart w:id="81" w:name="X4253f3a367db0eb4863f735cc06fe6d6f3d3ee7"/>
    <w:p>
      <w:pPr>
        <w:pStyle w:val="Heading3"/>
      </w:pPr>
      <w:r>
        <w:t xml:space="preserve">6.7 Continuous Discrimination and Precision-Recall Dynamics under Enterprise Scale</w:t>
      </w:r>
    </w:p>
    <w:p>
      <w:pPr>
        <w:pStyle w:val="FirstParagraph"/>
      </w:pPr>
      <w:r>
        <w:t xml:space="preserve">Evaluating continuous prediction probabilities independently of fixed operational cutoffs isolates model discriminative capacity. On the continuous enterprise test partition of APEX-IDS2026 (N = 3,256,518 candidate pairs per seed, evaluated under uniform negative candidate draws), EvolveGCN-H demonstrates strong continuous ranking performance, as visualized in Figure 12. Across three random seeds (</w:t>
      </w:r>
      <w:r>
        <w:rPr>
          <w:rStyle w:val="VerbatimChar"/>
        </w:rPr>
        <w:t xml:space="preserve">[42, 100, 1234]</w:t>
      </w:r>
      <w:r>
        <w:t xml:space="preserve">), EvolveGCN-H achieves a mean ROC-AUC of</w:t>
      </w:r>
      <w:r>
        <w:t xml:space="preserve"> </w:t>
      </w:r>
      <m:oMath>
        <m:r>
          <m:t>0.9705</m:t>
        </m:r>
        <m:r>
          <m:rPr>
            <m:sty m:val="p"/>
          </m:rPr>
          <m:t>±</m:t>
        </m:r>
        <m:r>
          <m:t>0.0035</m:t>
        </m:r>
      </m:oMath>
      <w:r>
        <w:t xml:space="preserve"> </w:t>
      </w:r>
      <w:r>
        <w:t xml:space="preserve">(Seed 42:</w:t>
      </w:r>
      <w:r>
        <w:t xml:space="preserve"> </w:t>
      </w:r>
      <m:oMath>
        <m:r>
          <m:t>0.9745</m:t>
        </m:r>
      </m:oMath>
      <w:r>
        <w:t xml:space="preserve">; Seed 100:</w:t>
      </w:r>
      <w:r>
        <w:t xml:space="preserve"> </w:t>
      </w:r>
      <m:oMath>
        <m:r>
          <m:t>0.9687</m:t>
        </m:r>
      </m:oMath>
      <w:r>
        <w:t xml:space="preserve">; Seed 1234:</w:t>
      </w:r>
      <w:r>
        <w:t xml:space="preserve"> </w:t>
      </w:r>
      <m:oMath>
        <m:r>
          <m:t>0.9682</m:t>
        </m:r>
      </m:oMath>
      <w:r>
        <w:t xml:space="preserve">) and a mean Average Precision (PR-AUC) of</w:t>
      </w:r>
      <w:r>
        <w:t xml:space="preserve"> </w:t>
      </w:r>
      <m:oMath>
        <m:r>
          <m:t>0.9716</m:t>
        </m:r>
        <m:r>
          <m:rPr>
            <m:sty m:val="p"/>
          </m:rPr>
          <m:t>±</m:t>
        </m:r>
        <m:r>
          <m:t>0.0028</m:t>
        </m:r>
      </m:oMath>
      <w:r>
        <w:t xml:space="preserve"> </w:t>
      </w:r>
      <w:r>
        <w:t xml:space="preserve">(Seed 42:</w:t>
      </w:r>
      <w:r>
        <w:t xml:space="preserve"> </w:t>
      </w:r>
      <m:oMath>
        <m:r>
          <m:t>0.9748</m:t>
        </m:r>
      </m:oMath>
      <w:r>
        <w:t xml:space="preserve">; Seed 100:</w:t>
      </w:r>
      <w:r>
        <w:t xml:space="preserve"> </w:t>
      </w:r>
      <m:oMath>
        <m:r>
          <m:t>0.9701</m:t>
        </m:r>
      </m:oMath>
      <w:r>
        <w:t xml:space="preserve">; Seed 1234:</w:t>
      </w:r>
      <w:r>
        <w:t xml:space="preserve"> </w:t>
      </w:r>
      <m:oMath>
        <m:r>
          <m:t>0.9699</m:t>
        </m:r>
      </m:oMath>
      <w:r>
        <w:t xml:space="preserve">). In contrast, the Persistence baseline produces a step-function ROC curve with an AUC of</w:t>
      </w:r>
      <w:r>
        <w:t xml:space="preserve"> </w:t>
      </w:r>
      <m:oMath>
        <m:r>
          <m:t>0.8130</m:t>
        </m:r>
      </m:oMath>
      <w:r>
        <w:t xml:space="preserve"> </w:t>
      </w:r>
      <w:r>
        <w:t xml:space="preserve">and Average Precision of</w:t>
      </w:r>
      <w:r>
        <w:t xml:space="preserve"> </w:t>
      </w:r>
      <m:oMath>
        <m:r>
          <m:t>0.8129</m:t>
        </m:r>
      </m:oMath>
      <w:r>
        <w:t xml:space="preserve">.</w:t>
      </w:r>
    </w:p>
    <w:p>
      <w:pPr>
        <w:pStyle w:val="BodyText"/>
      </w:pPr>
      <w:r>
        <w:rPr>
          <w:b/>
          <w:bCs/>
        </w:rPr>
        <w:t xml:space="preserve">Stratified Performance Breakdown (Recurring vs. New Edges):</w:t>
      </w:r>
      <w:r>
        <w:t xml:space="preserve"> </w:t>
      </w:r>
      <w:r>
        <w:t xml:space="preserve">To inspect the origin of this performance disparity, we stratify positive test candidates (</w:t>
      </w:r>
      <m:oMath>
        <m:r>
          <m:t>1</m:t>
        </m:r>
        <m:r>
          <m:rPr>
            <m:sty m:val="p"/>
          </m:rPr>
          <m:t>,</m:t>
        </m:r>
        <m:r>
          <m:t>628</m:t>
        </m:r>
        <m:r>
          <m:rPr>
            <m:sty m:val="p"/>
          </m:rPr>
          <m:t>,</m:t>
        </m:r>
        <m:r>
          <m:t>259</m:t>
        </m:r>
      </m:oMath>
      <w:r>
        <w:t xml:space="preserve"> </w:t>
      </w:r>
      <w:r>
        <w:t xml:space="preserve">edges across 12 test transitions) into recurring and novel edge formations:</w:t>
      </w:r>
      <w:r>
        <w:t xml:space="preserve"> </w:t>
      </w:r>
      <w:r>
        <w:t xml:space="preserve">*</w:t>
      </w:r>
      <w:r>
        <w:t xml:space="preserve"> </w:t>
      </w:r>
      <w:r>
        <w:rPr>
          <w:i/>
          <w:iCs/>
        </w:rPr>
        <w:t xml:space="preserve">Recurring Active Edges (</w:t>
      </w:r>
      <m:oMath>
        <m:sSubSup>
          <m:e>
            <m:r>
              <m:t>E</m:t>
            </m:r>
          </m:e>
          <m:sub>
            <m:r>
              <m:t>t</m:t>
            </m:r>
            <m:r>
              <m:rPr>
                <m:sty m:val="p"/>
              </m:rPr>
              <m:t>+</m:t>
            </m:r>
            <m:r>
              <m:t>1</m:t>
            </m:r>
          </m:sub>
          <m:sup>
            <m:r>
              <m:rPr>
                <m:nor/>
                <m:sty m:val="p"/>
              </m:rPr>
              <m:t>rec</m:t>
            </m:r>
          </m:sup>
        </m:sSubSup>
        <m:r>
          <m:rPr>
            <m:sty m:val="p"/>
          </m:rPr>
          <m:t>=</m:t>
        </m:r>
        <m:sSub>
          <m:e>
            <m:r>
              <m:t>E</m:t>
            </m:r>
          </m:e>
          <m:sub>
            <m:r>
              <m:t>t</m:t>
            </m:r>
          </m:sub>
        </m:sSub>
        <m:r>
          <m:rPr>
            <m:sty m:val="p"/>
          </m:rPr>
          <m:t>∩</m:t>
        </m:r>
        <m:sSub>
          <m:e>
            <m:r>
              <m:t>E</m:t>
            </m:r>
          </m:e>
          <m:sub>
            <m:r>
              <m:t>t</m:t>
            </m:r>
            <m:r>
              <m:rPr>
                <m:sty m:val="p"/>
              </m:rPr>
              <m:t>+</m:t>
            </m:r>
            <m:r>
              <m:t>1</m:t>
            </m:r>
          </m:sub>
        </m:sSub>
      </m:oMath>
      <w:r>
        <w:rPr>
          <w:i/>
          <w:iCs/>
        </w:rPr>
        <w:t xml:space="preserve">):</w:t>
      </w:r>
      <w:r>
        <w:t xml:space="preserve"> </w:t>
      </w:r>
      <w:r>
        <w:t xml:space="preserve">Account for</w:t>
      </w:r>
      <w:r>
        <w:t xml:space="preserve"> </w:t>
      </w:r>
      <m:oMath>
        <m:r>
          <m:t>1</m:t>
        </m:r>
        <m:r>
          <m:rPr>
            <m:sty m:val="p"/>
          </m:rPr>
          <m:t>,</m:t>
        </m:r>
        <m:r>
          <m:t>019</m:t>
        </m:r>
        <m:r>
          <m:rPr>
            <m:sty m:val="p"/>
          </m:rPr>
          <m:t>,</m:t>
        </m:r>
        <m:r>
          <m:t>361</m:t>
        </m:r>
      </m:oMath>
      <w:r>
        <w:t xml:space="preserve"> </w:t>
      </w:r>
      <w:r>
        <w:t xml:space="preserve">edges (</w:t>
      </w:r>
      <m:oMath>
        <m:r>
          <m:t>62.60</m:t>
        </m:r>
        <m:r>
          <m:rPr>
            <m:sty m:val="p"/>
          </m:rPr>
          <m:t>%</m:t>
        </m:r>
      </m:oMath>
      <w:r>
        <w:t xml:space="preserve">). On this stratum, Persistence achieves a perfect</w:t>
      </w:r>
      <w:r>
        <w:t xml:space="preserve"> </w:t>
      </w:r>
      <m:oMath>
        <m:r>
          <m:t>100.0</m:t>
        </m:r>
        <m:r>
          <m:rPr>
            <m:sty m:val="p"/>
          </m:rPr>
          <m:t>%</m:t>
        </m:r>
      </m:oMath>
      <w:r>
        <w:t xml:space="preserve"> </w:t>
      </w:r>
      <w:r>
        <w:t xml:space="preserve">recall (</w:t>
      </w:r>
      <m:oMath>
        <m:r>
          <m:t>1</m:t>
        </m:r>
        <m:r>
          <m:rPr>
            <m:sty m:val="p"/>
          </m:rPr>
          <m:t>,</m:t>
        </m:r>
        <m:r>
          <m:t>019</m:t>
        </m:r>
        <m:r>
          <m:rPr>
            <m:sty m:val="p"/>
          </m:rPr>
          <m:t>,</m:t>
        </m:r>
        <m:r>
          <m:t>361</m:t>
        </m:r>
        <m:r>
          <m:rPr>
            <m:sty m:val="p"/>
          </m:rPr>
          <m:t>/</m:t>
        </m:r>
        <m:r>
          <m:t>1</m:t>
        </m:r>
        <m:r>
          <m:rPr>
            <m:sty m:val="p"/>
          </m:rPr>
          <m:t>,</m:t>
        </m:r>
        <m:r>
          <m:t>019</m:t>
        </m:r>
        <m:r>
          <m:rPr>
            <m:sty m:val="p"/>
          </m:rPr>
          <m:t>,</m:t>
        </m:r>
        <m:r>
          <m:t>361</m:t>
        </m:r>
      </m:oMath>
      <w:r>
        <w:t xml:space="preserve">), while EvolveGCN-H achieves</w:t>
      </w:r>
      <w:r>
        <w:t xml:space="preserve"> </w:t>
      </w:r>
      <m:oMath>
        <m:r>
          <m:t>94.37</m:t>
        </m:r>
        <m:r>
          <m:rPr>
            <m:sty m:val="p"/>
          </m:rPr>
          <m:t>%</m:t>
        </m:r>
        <m:r>
          <m:rPr>
            <m:sty m:val="p"/>
          </m:rPr>
          <m:t>±</m:t>
        </m:r>
        <m:r>
          <m:t>0.99</m:t>
        </m:r>
        <m:r>
          <m:rPr>
            <m:sty m:val="p"/>
          </m:rPr>
          <m:t>%</m:t>
        </m:r>
      </m:oMath>
      <w:r>
        <w:t xml:space="preserve"> </w:t>
      </w:r>
      <w:r>
        <w:t xml:space="preserve">recall (</w:t>
      </w:r>
      <m:oMath>
        <m:r>
          <m:t>962</m:t>
        </m:r>
        <m:r>
          <m:rPr>
            <m:sty m:val="p"/>
          </m:rPr>
          <m:t>,</m:t>
        </m:r>
        <m:r>
          <m:t>019</m:t>
        </m:r>
      </m:oMath>
      <w:r>
        <w:t xml:space="preserve"> </w:t>
      </w:r>
      <w:r>
        <w:t xml:space="preserve">detected on Seed 42).</w:t>
      </w:r>
      <w:r>
        <w:t xml:space="preserve"> </w:t>
      </w:r>
      <w:r>
        <w:t xml:space="preserve">*</w:t>
      </w:r>
      <w:r>
        <w:t xml:space="preserve"> </w:t>
      </w:r>
      <w:r>
        <w:rPr>
          <w:i/>
          <w:iCs/>
        </w:rPr>
        <w:t xml:space="preserve">New Edges between Active Known Nodes (</w:t>
      </w:r>
      <m:oMath>
        <m:sSubSup>
          <m:e>
            <m:r>
              <m:t>E</m:t>
            </m:r>
          </m:e>
          <m:sub>
            <m:r>
              <m:t>t</m:t>
            </m:r>
            <m:r>
              <m:rPr>
                <m:sty m:val="p"/>
              </m:rPr>
              <m:t>+</m:t>
            </m:r>
            <m:r>
              <m:t>1</m:t>
            </m:r>
          </m:sub>
          <m:sup>
            <m:r>
              <m:rPr>
                <m:nor/>
                <m:sty m:val="p"/>
              </m:rPr>
              <m:t>active</m:t>
            </m:r>
          </m:sup>
        </m:sSubSup>
        <m:r>
          <m:rPr>
            <m:sty m:val="p"/>
          </m:rPr>
          <m:t>⊆</m:t>
        </m:r>
        <m:sSub>
          <m:e>
            <m:r>
              <m:t>V</m:t>
            </m:r>
          </m:e>
          <m:sub>
            <m:r>
              <m:t>t</m:t>
            </m:r>
          </m:sub>
        </m:sSub>
        <m:r>
          <m:rPr>
            <m:sty m:val="p"/>
          </m:rPr>
          <m:t>×</m:t>
        </m:r>
        <m:sSub>
          <m:e>
            <m:r>
              <m:t>V</m:t>
            </m:r>
          </m:e>
          <m:sub>
            <m:r>
              <m:t>t</m:t>
            </m:r>
          </m:sub>
        </m:sSub>
        <m:r>
          <m:rPr>
            <m:sty m:val="p"/>
          </m:rPr>
          <m:t>\</m:t>
        </m:r>
        <m:sSub>
          <m:e>
            <m:r>
              <m:t>E</m:t>
            </m:r>
          </m:e>
          <m:sub>
            <m:r>
              <m:t>t</m:t>
            </m:r>
          </m:sub>
        </m:sSub>
      </m:oMath>
      <w:r>
        <w:rPr>
          <w:i/>
          <w:iCs/>
        </w:rPr>
        <w:t xml:space="preserve">):</w:t>
      </w:r>
      <w:r>
        <w:t xml:space="preserve"> </w:t>
      </w:r>
      <w:r>
        <w:t xml:space="preserve">Account for</w:t>
      </w:r>
      <w:r>
        <w:t xml:space="preserve"> </w:t>
      </w:r>
      <m:oMath>
        <m:r>
          <m:t>608</m:t>
        </m:r>
        <m:r>
          <m:rPr>
            <m:sty m:val="p"/>
          </m:rPr>
          <m:t>,</m:t>
        </m:r>
        <m:r>
          <m:t>898</m:t>
        </m:r>
      </m:oMath>
      <w:r>
        <w:t xml:space="preserve"> </w:t>
      </w:r>
      <w:r>
        <w:t xml:space="preserve">edges (</w:t>
      </w:r>
      <m:oMath>
        <m:r>
          <m:t>37.40</m:t>
        </m:r>
        <m:r>
          <m:rPr>
            <m:sty m:val="p"/>
          </m:rPr>
          <m:t>%</m:t>
        </m:r>
      </m:oMath>
      <w:r>
        <w:t xml:space="preserve">). On this stratum, Persistence achieves exactly</w:t>
      </w:r>
      <w:r>
        <w:t xml:space="preserve"> </w:t>
      </w:r>
      <m:oMath>
        <m:r>
          <m:t>0.0</m:t>
        </m:r>
        <m:r>
          <m:rPr>
            <m:sty m:val="p"/>
          </m:rPr>
          <m:t>%</m:t>
        </m:r>
      </m:oMath>
      <w:r>
        <w:t xml:space="preserve"> </w:t>
      </w:r>
      <w:r>
        <w:t xml:space="preserve">recall (</w:t>
      </w:r>
      <m:oMath>
        <m:r>
          <m:t>0</m:t>
        </m:r>
        <m:r>
          <m:rPr>
            <m:sty m:val="p"/>
          </m:rPr>
          <m:t>/</m:t>
        </m:r>
        <m:r>
          <m:t>608</m:t>
        </m:r>
        <m:r>
          <m:rPr>
            <m:sty m:val="p"/>
          </m:rPr>
          <m:t>,</m:t>
        </m:r>
        <m:r>
          <m:t>898</m:t>
        </m:r>
      </m:oMath>
      <w:r>
        <w:t xml:space="preserve">), structurally failing on every newly emerging channel. In contrast, EvolveGCN-H achieves</w:t>
      </w:r>
      <w:r>
        <w:t xml:space="preserve"> </w:t>
      </w:r>
      <m:oMath>
        <m:r>
          <m:t>85.90</m:t>
        </m:r>
        <m:r>
          <m:rPr>
            <m:sty m:val="p"/>
          </m:rPr>
          <m:t>%</m:t>
        </m:r>
      </m:oMath>
      <w:r>
        <w:t xml:space="preserve"> </w:t>
      </w:r>
      <w:r>
        <w:t xml:space="preserve">recall on Seed 42 (</w:t>
      </w:r>
      <m:oMath>
        <m:r>
          <m:t>522</m:t>
        </m:r>
        <m:r>
          <m:rPr>
            <m:sty m:val="p"/>
          </m:rPr>
          <m:t>,</m:t>
        </m:r>
        <m:r>
          <m:t>992</m:t>
        </m:r>
      </m:oMath>
      <w:r>
        <w:t xml:space="preserve"> </w:t>
      </w:r>
      <w:r>
        <w:t xml:space="preserve">detected), and an overall three-seed mean recall of</w:t>
      </w:r>
      <w:r>
        <w:t xml:space="preserve"> </w:t>
      </w:r>
      <m:oMath>
        <m:r>
          <m:t>81.12</m:t>
        </m:r>
        <m:r>
          <m:rPr>
            <m:sty m:val="p"/>
          </m:rPr>
          <m:t>%</m:t>
        </m:r>
        <m:r>
          <m:rPr>
            <m:sty m:val="p"/>
          </m:rPr>
          <m:t>±</m:t>
        </m:r>
        <m:r>
          <m:t>2.82</m:t>
        </m:r>
        <m:r>
          <m:rPr>
            <m:sty m:val="p"/>
          </m:rPr>
          <m:t>%</m:t>
        </m:r>
      </m:oMath>
      <w:r>
        <w:t xml:space="preserve">.</w:t>
      </w:r>
    </w:p>
    <w:p>
      <w:pPr>
        <w:pStyle w:val="BodyText"/>
      </w:pPr>
      <w:r>
        <w:t xml:space="preserve">This breakdown explains why EvolveGCN-H achieves an overall continuous ROC-AUC of</w:t>
      </w:r>
      <w:r>
        <w:t xml:space="preserve"> </w:t>
      </w:r>
      <m:oMath>
        <m:r>
          <m:t>0.9705</m:t>
        </m:r>
      </m:oMath>
      <w:r>
        <w:t xml:space="preserve">: it successfully ranks newly emerging edges between active endpoints above random non-edges, an inductive capability fundamentally inaccessible to static persistence heuristics.</w:t>
      </w:r>
    </w:p>
    <w:p>
      <w:pPr>
        <w:pStyle w:val="BodyText"/>
      </w:pPr>
      <w:r>
        <w:drawing>
          <wp:inline>
            <wp:extent cx="5334000" cy="2192978"/>
            <wp:effectExtent b="0" l="0" r="0" t="0"/>
            <wp:docPr descr="Figure 12: Continuous ROC and Precision-Recall Curves for EvolveGCN-H and Persistence" title="" id="79" name="Picture"/>
            <a:graphic>
              <a:graphicData uri="http://schemas.openxmlformats.org/drawingml/2006/picture">
                <pic:pic>
                  <pic:nvPicPr>
                    <pic:cNvPr descr="../figures/fig12_roc_and_pr_curves_apex.png" id="80" name="Picture"/>
                    <pic:cNvPicPr>
                      <a:picLocks noChangeArrowheads="1" noChangeAspect="1"/>
                    </pic:cNvPicPr>
                  </pic:nvPicPr>
                  <pic:blipFill>
                    <a:blip r:embed="rId78"/>
                    <a:stretch>
                      <a:fillRect/>
                    </a:stretch>
                  </pic:blipFill>
                  <pic:spPr bwMode="auto">
                    <a:xfrm>
                      <a:off x="0" y="0"/>
                      <a:ext cx="5334000" cy="2192978"/>
                    </a:xfrm>
                    <a:prstGeom prst="rect">
                      <a:avLst/>
                    </a:prstGeom>
                    <a:noFill/>
                    <a:ln w="9525">
                      <a:noFill/>
                      <a:headEnd/>
                      <a:tailEnd/>
                    </a:ln>
                  </pic:spPr>
                </pic:pic>
              </a:graphicData>
            </a:graphic>
          </wp:inline>
        </w:drawing>
      </w:r>
      <w:r>
        <w:br/>
      </w:r>
      <w:r>
        <w:rPr>
          <w:i/>
          <w:iCs/>
        </w:rPr>
        <w:t xml:space="preserve">Figure 12: Continuous performance evaluation on the held-out APEX-IDS2026 test partition (N = 3,256,518 candidate pairs per seed). (A) Receiver Operating Characteristic (ROC) curves comparing EvolveGCN-H across three random seeds (Seed 42: AUC = 0.9745; Seed 100: AUC = 0.9687; Seed 1234: AUC = 0.9682; Mean: AUC =</w:t>
      </w:r>
      <w:r>
        <w:rPr>
          <w:i/>
          <w:iCs/>
        </w:rPr>
        <w:t xml:space="preserve"> </w:t>
      </w:r>
      <m:oMath>
        <m:r>
          <m:t>0.9705</m:t>
        </m:r>
        <m:r>
          <m:rPr>
            <m:sty m:val="p"/>
          </m:rPr>
          <m:t>±</m:t>
        </m:r>
        <m:r>
          <m:t>0.0035</m:t>
        </m:r>
      </m:oMath>
      <w:r>
        <w:rPr>
          <w:i/>
          <w:iCs/>
        </w:rPr>
        <w:t xml:space="preserve">), Persistence baseline (step curve, AUC = 0.8130), and random chance (AUC = 0.5000). (B) Precision-Recall (PR) curves showing Recall vs. Precision for EvolveGCN-H (Seed 42: AP = 0.9748; Seed 100: AP = 0.9701; Seed 1234: AP = 0.9699; Mean: AP =</w:t>
      </w:r>
      <w:r>
        <w:rPr>
          <w:i/>
          <w:iCs/>
        </w:rPr>
        <w:t xml:space="preserve"> </w:t>
      </w:r>
      <m:oMath>
        <m:r>
          <m:t>0.9716</m:t>
        </m:r>
        <m:r>
          <m:rPr>
            <m:sty m:val="p"/>
          </m:rPr>
          <m:t>±</m:t>
        </m:r>
        <m:r>
          <m:t>0.0028</m:t>
        </m:r>
      </m:oMath>
      <w:r>
        <w:rPr>
          <w:i/>
          <w:iCs/>
        </w:rPr>
        <w:t xml:space="preserve">), Persistence (AP = 0.8129), and balanced chance base rate (P = 0.5000).</w:t>
      </w:r>
    </w:p>
    <w:bookmarkEnd w:id="81"/>
    <w:bookmarkStart w:id="85" w:name="Xdc7349748a4d22ed5b210cb1e4f7ce6dba4c8e5"/>
    <w:p>
      <w:pPr>
        <w:pStyle w:val="Heading3"/>
      </w:pPr>
      <w:r>
        <w:t xml:space="preserve">6.8 Empirical Confusion Matrix Profiles across Models and Sampling Regimes</w:t>
      </w:r>
    </w:p>
    <w:p>
      <w:pPr>
        <w:pStyle w:val="FirstParagraph"/>
      </w:pPr>
      <w:r>
        <w:t xml:space="preserve">To inspect the operational impact of candidate sampling regimes on classification errors, Figure 13 illustrates 2x2 empirical confusion matrices with exact sample counts and class-conditional percentages across models and datasets:</w:t>
      </w:r>
      <w:r>
        <w:t xml:space="preserve"> </w:t>
      </w:r>
      <w:r>
        <w:t xml:space="preserve">*</w:t>
      </w:r>
      <w:r>
        <w:t xml:space="preserve"> </w:t>
      </w:r>
      <w:r>
        <w:rPr>
          <w:b/>
          <w:bCs/>
        </w:rPr>
        <w:t xml:space="preserve">APEX-IDS2026 Enterprise Telemetry (Panels A &amp; B):</w:t>
      </w:r>
      <w:r>
        <w:t xml:space="preserve"> </w:t>
      </w:r>
      <w:r>
        <w:t xml:space="preserve">On the held-out test partition (</w:t>
      </w:r>
      <m:oMath>
        <m:r>
          <m:t>N</m:t>
        </m:r>
        <m:r>
          <m:rPr>
            <m:sty m:val="p"/>
          </m:rPr>
          <m:t>=</m:t>
        </m:r>
        <m:r>
          <m:t>3</m:t>
        </m:r>
        <m:r>
          <m:rPr>
            <m:sty m:val="p"/>
          </m:rPr>
          <m:t>,</m:t>
        </m:r>
        <m:r>
          <m:t>256</m:t>
        </m:r>
        <m:r>
          <m:rPr>
            <m:sty m:val="p"/>
          </m:rPr>
          <m:t>,</m:t>
        </m:r>
        <m:r>
          <m:t>518</m:t>
        </m:r>
      </m:oMath>
      <w:r>
        <w:t xml:space="preserve">), EvolveGCN-H (Seed 42) achieves</w:t>
      </w:r>
      <w:r>
        <w:t xml:space="preserve"> </w:t>
      </w:r>
      <m:oMath>
        <m:r>
          <m:t>T</m:t>
        </m:r>
        <m:r>
          <m:t>P</m:t>
        </m:r>
        <m:r>
          <m:rPr>
            <m:sty m:val="p"/>
          </m:rPr>
          <m:t>=</m:t>
        </m:r>
        <m:r>
          <m:t>1</m:t>
        </m:r>
        <m:r>
          <m:rPr>
            <m:sty m:val="p"/>
          </m:rPr>
          <m:t>,</m:t>
        </m:r>
        <m:r>
          <m:t>485</m:t>
        </m:r>
        <m:r>
          <m:rPr>
            <m:sty m:val="p"/>
          </m:rPr>
          <m:t>,</m:t>
        </m:r>
        <m:r>
          <m:t>011</m:t>
        </m:r>
      </m:oMath>
      <w:r>
        <w:t xml:space="preserve"> </w:t>
      </w:r>
      <w:r>
        <w:t xml:space="preserve">(</w:t>
      </w:r>
      <m:oMath>
        <m:r>
          <m:t>91.2</m:t>
        </m:r>
        <m:r>
          <m:rPr>
            <m:sty m:val="p"/>
          </m:rPr>
          <m:t>%</m:t>
        </m:r>
      </m:oMath>
      <w:r>
        <w:t xml:space="preserve"> </w:t>
      </w:r>
      <w:r>
        <w:t xml:space="preserve">recall on active links) and</w:t>
      </w:r>
      <w:r>
        <w:t xml:space="preserve"> </w:t>
      </w:r>
      <m:oMath>
        <m:r>
          <m:t>T</m:t>
        </m:r>
        <m:r>
          <m:t>N</m:t>
        </m:r>
        <m:r>
          <m:rPr>
            <m:sty m:val="p"/>
          </m:rPr>
          <m:t>=</m:t>
        </m:r>
        <m:r>
          <m:t>1</m:t>
        </m:r>
        <m:r>
          <m:rPr>
            <m:sty m:val="p"/>
          </m:rPr>
          <m:t>,</m:t>
        </m:r>
        <m:r>
          <m:t>522</m:t>
        </m:r>
        <m:r>
          <m:rPr>
            <m:sty m:val="p"/>
          </m:rPr>
          <m:t>,</m:t>
        </m:r>
        <m:r>
          <m:t>179</m:t>
        </m:r>
      </m:oMath>
      <w:r>
        <w:t xml:space="preserve"> </w:t>
      </w:r>
      <w:r>
        <w:t xml:space="preserve">(</w:t>
      </w:r>
      <m:oMath>
        <m:r>
          <m:t>93.5</m:t>
        </m:r>
        <m:r>
          <m:rPr>
            <m:sty m:val="p"/>
          </m:rPr>
          <m:t>%</m:t>
        </m:r>
      </m:oMath>
      <w:r>
        <w:t xml:space="preserve"> </w:t>
      </w:r>
      <w:r>
        <w:t xml:space="preserve">specificity on inactive pairs), with</w:t>
      </w:r>
      <w:r>
        <w:t xml:space="preserve"> </w:t>
      </w:r>
      <m:oMath>
        <m:r>
          <m:t>F</m:t>
        </m:r>
        <m:r>
          <m:t>P</m:t>
        </m:r>
        <m:r>
          <m:rPr>
            <m:sty m:val="p"/>
          </m:rPr>
          <m:t>=</m:t>
        </m:r>
        <m:r>
          <m:t>106</m:t>
        </m:r>
        <m:r>
          <m:rPr>
            <m:sty m:val="p"/>
          </m:rPr>
          <m:t>,</m:t>
        </m:r>
        <m:r>
          <m:t>080</m:t>
        </m:r>
      </m:oMath>
      <w:r>
        <w:t xml:space="preserve"> </w:t>
      </w:r>
      <w:r>
        <w:t xml:space="preserve">(</w:t>
      </w:r>
      <m:oMath>
        <m:r>
          <m:t>6.5</m:t>
        </m:r>
        <m:r>
          <m:rPr>
            <m:sty m:val="p"/>
          </m:rPr>
          <m:t>%</m:t>
        </m:r>
      </m:oMath>
      <w:r>
        <w:t xml:space="preserve"> </w:t>
      </w:r>
      <w:r>
        <w:t xml:space="preserve">false positive rate) and</w:t>
      </w:r>
      <w:r>
        <w:t xml:space="preserve"> </w:t>
      </w:r>
      <m:oMath>
        <m:r>
          <m:t>F</m:t>
        </m:r>
        <m:r>
          <m:t>N</m:t>
        </m:r>
        <m:r>
          <m:rPr>
            <m:sty m:val="p"/>
          </m:rPr>
          <m:t>=</m:t>
        </m:r>
        <m:r>
          <m:t>143</m:t>
        </m:r>
        <m:r>
          <m:rPr>
            <m:sty m:val="p"/>
          </m:rPr>
          <m:t>,</m:t>
        </m:r>
        <m:r>
          <m:t>248</m:t>
        </m:r>
      </m:oMath>
      <w:r>
        <w:t xml:space="preserve">, yielding</w:t>
      </w:r>
      <w:r>
        <w:t xml:space="preserve"> </w:t>
      </w:r>
      <m:oMath>
        <m:r>
          <m:t>93.33</m:t>
        </m:r>
        <m:r>
          <m:rPr>
            <m:sty m:val="p"/>
          </m:rPr>
          <m:t>%</m:t>
        </m:r>
      </m:oMath>
      <w:r>
        <w:t xml:space="preserve"> </w:t>
      </w:r>
      <w:r>
        <w:t xml:space="preserve">precision and</w:t>
      </w:r>
      <w:r>
        <w:t xml:space="preserve"> </w:t>
      </w:r>
      <m:oMath>
        <m:r>
          <m:t>92.26</m:t>
        </m:r>
        <m:r>
          <m:rPr>
            <m:sty m:val="p"/>
          </m:rPr>
          <m:t>%</m:t>
        </m:r>
      </m:oMath>
      <w:r>
        <w:t xml:space="preserve"> </w:t>
      </w:r>
      <w:r>
        <w:t xml:space="preserve">F1. Conversely, the Persistence baseline achieves near-zero false positives (</w:t>
      </w:r>
      <m:oMath>
        <m:r>
          <m:t>F</m:t>
        </m:r>
        <m:r>
          <m:t>P</m:t>
        </m:r>
        <m:r>
          <m:rPr>
            <m:sty m:val="p"/>
          </m:rPr>
          <m:t>=</m:t>
        </m:r>
        <m:r>
          <m:t>168</m:t>
        </m:r>
      </m:oMath>
      <w:r>
        <w:t xml:space="preserve">,</w:t>
      </w:r>
      <w:r>
        <w:t xml:space="preserve"> </w:t>
      </w:r>
      <m:oMath>
        <m:r>
          <m:t>0.01</m:t>
        </m:r>
        <m:r>
          <m:rPr>
            <m:sty m:val="p"/>
          </m:rPr>
          <m:t>%</m:t>
        </m:r>
      </m:oMath>
      <w:r>
        <w:t xml:space="preserve"> </w:t>
      </w:r>
      <w:r>
        <w:t xml:space="preserve">error on inactive pairs;</w:t>
      </w:r>
      <w:r>
        <w:t xml:space="preserve"> </w:t>
      </w:r>
      <m:oMath>
        <m:r>
          <m:t>99.98</m:t>
        </m:r>
        <m:r>
          <m:rPr>
            <m:sty m:val="p"/>
          </m:rPr>
          <m:t>%</m:t>
        </m:r>
      </m:oMath>
      <w:r>
        <w:t xml:space="preserve"> </w:t>
      </w:r>
      <w:r>
        <w:t xml:space="preserve">precision), but suffers</w:t>
      </w:r>
      <w:r>
        <w:t xml:space="preserve"> </w:t>
      </w:r>
      <m:oMath>
        <m:r>
          <m:t>F</m:t>
        </m:r>
        <m:r>
          <m:t>N</m:t>
        </m:r>
        <m:r>
          <m:rPr>
            <m:sty m:val="p"/>
          </m:rPr>
          <m:t>=</m:t>
        </m:r>
        <m:r>
          <m:t>608</m:t>
        </m:r>
        <m:r>
          <m:rPr>
            <m:sty m:val="p"/>
          </m:rPr>
          <m:t>,</m:t>
        </m:r>
        <m:r>
          <m:t>898</m:t>
        </m:r>
      </m:oMath>
      <w:r>
        <w:t xml:space="preserve"> </w:t>
      </w:r>
      <w:r>
        <w:t xml:space="preserve">(</w:t>
      </w:r>
      <m:oMath>
        <m:r>
          <m:t>37.4</m:t>
        </m:r>
        <m:r>
          <m:rPr>
            <m:sty m:val="p"/>
          </m:rPr>
          <m:t>%</m:t>
        </m:r>
      </m:oMath>
      <w:r>
        <w:t xml:space="preserve"> </w:t>
      </w:r>
      <w:r>
        <w:t xml:space="preserve">false negative rate), missing over 600,000 active communication links due to enterprise edge novelty.</w:t>
      </w:r>
      <w:r>
        <w:t xml:space="preserve"> </w:t>
      </w:r>
      <w:r>
        <w:t xml:space="preserve">*</w:t>
      </w:r>
      <w:r>
        <w:t xml:space="preserve"> </w:t>
      </w:r>
      <w:r>
        <w:rPr>
          <w:b/>
          <w:bCs/>
        </w:rPr>
        <w:t xml:space="preserve">CIC-IDS2017 Day 4 Transition (Panels C &amp; D):</w:t>
      </w:r>
      <w:r>
        <w:t xml:space="preserve"> </w:t>
      </w:r>
      <w:r>
        <w:t xml:space="preserve">On the balanced test transition (</w:t>
      </w:r>
      <m:oMath>
        <m:r>
          <m:t>N</m:t>
        </m:r>
        <m:r>
          <m:rPr>
            <m:sty m:val="p"/>
          </m:rPr>
          <m:t>=</m:t>
        </m:r>
        <m:r>
          <m:t>4</m:t>
        </m:r>
        <m:r>
          <m:rPr>
            <m:sty m:val="p"/>
          </m:rPr>
          <m:t>,</m:t>
        </m:r>
        <m:r>
          <m:t>000</m:t>
        </m:r>
      </m:oMath>
      <w:r>
        <w:t xml:space="preserve">), EvolveGCN-H (Seed 42) detects</w:t>
      </w:r>
      <w:r>
        <w:t xml:space="preserve"> </w:t>
      </w:r>
      <m:oMath>
        <m:r>
          <m:t>T</m:t>
        </m:r>
        <m:r>
          <m:t>P</m:t>
        </m:r>
        <m:r>
          <m:rPr>
            <m:sty m:val="p"/>
          </m:rPr>
          <m:t>=</m:t>
        </m:r>
        <m:r>
          <m:t>1</m:t>
        </m:r>
        <m:r>
          <m:rPr>
            <m:sty m:val="p"/>
          </m:rPr>
          <m:t>,</m:t>
        </m:r>
        <m:r>
          <m:t>982</m:t>
        </m:r>
      </m:oMath>
      <w:r>
        <w:t xml:space="preserve"> </w:t>
      </w:r>
      <w:r>
        <w:t xml:space="preserve">active links (</w:t>
      </w:r>
      <m:oMath>
        <m:r>
          <m:t>99.1</m:t>
        </m:r>
        <m:r>
          <m:rPr>
            <m:sty m:val="p"/>
          </m:rPr>
          <m:t>%</m:t>
        </m:r>
      </m:oMath>
      <w:r>
        <w:t xml:space="preserve"> </w:t>
      </w:r>
      <w:r>
        <w:t xml:space="preserve">recall) with only</w:t>
      </w:r>
      <w:r>
        <w:t xml:space="preserve"> </w:t>
      </w:r>
      <m:oMath>
        <m:r>
          <m:t>F</m:t>
        </m:r>
        <m:r>
          <m:t>N</m:t>
        </m:r>
        <m:r>
          <m:rPr>
            <m:sty m:val="p"/>
          </m:rPr>
          <m:t>=</m:t>
        </m:r>
        <m:r>
          <m:t>18</m:t>
        </m:r>
      </m:oMath>
      <w:r>
        <w:t xml:space="preserve">. However, under Setting A (Hard Historical Negatives), inactive channels that were previously active in Days 0–2 produce</w:t>
      </w:r>
      <w:r>
        <w:t xml:space="preserve"> </w:t>
      </w:r>
      <m:oMath>
        <m:r>
          <m:t>F</m:t>
        </m:r>
        <m:r>
          <m:t>P</m:t>
        </m:r>
        <m:r>
          <m:rPr>
            <m:sty m:val="p"/>
          </m:rPr>
          <m:t>=</m:t>
        </m:r>
        <m:r>
          <m:t>939</m:t>
        </m:r>
      </m:oMath>
      <w:r>
        <w:t xml:space="preserve"> </w:t>
      </w:r>
      <w:r>
        <w:t xml:space="preserve">(</w:t>
      </w:r>
      <m:oMath>
        <m:r>
          <m:t>46.9</m:t>
        </m:r>
        <m:r>
          <m:rPr>
            <m:sty m:val="p"/>
          </m:rPr>
          <m:t>%</m:t>
        </m:r>
      </m:oMath>
      <w:r>
        <w:t xml:space="preserve"> </w:t>
      </w:r>
      <w:r>
        <w:t xml:space="preserve">error on inactive pairs), degrading precision to</w:t>
      </w:r>
      <w:r>
        <w:t xml:space="preserve"> </w:t>
      </w:r>
      <m:oMath>
        <m:r>
          <m:t>67.85</m:t>
        </m:r>
        <m:r>
          <m:rPr>
            <m:sty m:val="p"/>
          </m:rPr>
          <m:t>%</m:t>
        </m:r>
      </m:oMath>
      <w:r>
        <w:t xml:space="preserve">. Under Setting B (Mixed Random Negatives), random non-edges are more readily separated (</w:t>
      </w:r>
      <m:oMath>
        <m:r>
          <m:t>F</m:t>
        </m:r>
        <m:r>
          <m:t>P</m:t>
        </m:r>
        <m:r>
          <m:rPr>
            <m:sty m:val="p"/>
          </m:rPr>
          <m:t>=</m:t>
        </m:r>
        <m:r>
          <m:t>603</m:t>
        </m:r>
      </m:oMath>
      <w:r>
        <w:t xml:space="preserve">,</w:t>
      </w:r>
      <w:r>
        <w:t xml:space="preserve"> </w:t>
      </w:r>
      <m:oMath>
        <m:r>
          <m:t>30.1</m:t>
        </m:r>
        <m:r>
          <m:rPr>
            <m:sty m:val="p"/>
          </m:rPr>
          <m:t>%</m:t>
        </m:r>
      </m:oMath>
      <w:r>
        <w:t xml:space="preserve"> </w:t>
      </w:r>
      <w:r>
        <w:t xml:space="preserve">false positive rate), elevating precision to</w:t>
      </w:r>
      <w:r>
        <w:t xml:space="preserve"> </w:t>
      </w:r>
      <m:oMath>
        <m:r>
          <m:t>76.67</m:t>
        </m:r>
        <m:r>
          <m:rPr>
            <m:sty m:val="p"/>
          </m:rPr>
          <m:t>%</m:t>
        </m:r>
      </m:oMath>
      <w:r>
        <w:t xml:space="preserve"> </w:t>
      </w:r>
      <w:r>
        <w:t xml:space="preserve">(</w:t>
      </w:r>
      <m:oMath>
        <m:r>
          <m:t>86.46</m:t>
        </m:r>
        <m:r>
          <m:rPr>
            <m:sty m:val="p"/>
          </m:rPr>
          <m:t>%</m:t>
        </m:r>
      </m:oMath>
      <w:r>
        <w:t xml:space="preserve"> </w:t>
      </w:r>
      <w:r>
        <w:t xml:space="preserve">F1). This verifies that negative sampling choice directly alters the observed false-alarm profile of graph learning architectures.</w:t>
      </w:r>
    </w:p>
    <w:p>
      <w:pPr>
        <w:pStyle w:val="BodyText"/>
      </w:pPr>
      <w:r>
        <w:drawing>
          <wp:inline>
            <wp:extent cx="5334000" cy="4122728"/>
            <wp:effectExtent b="0" l="0" r="0" t="0"/>
            <wp:docPr descr="Figure 13: Empirical Classification Confusion Matrices across Models and Sampling Regimes" title="" id="83" name="Picture"/>
            <a:graphic>
              <a:graphicData uri="http://schemas.openxmlformats.org/drawingml/2006/picture">
                <pic:pic>
                  <pic:nvPicPr>
                    <pic:cNvPr descr="../figures/fig13_classification_confusion_matrices.png" id="84" name="Picture"/>
                    <pic:cNvPicPr>
                      <a:picLocks noChangeArrowheads="1" noChangeAspect="1"/>
                    </pic:cNvPicPr>
                  </pic:nvPicPr>
                  <pic:blipFill>
                    <a:blip r:embed="rId82"/>
                    <a:stretch>
                      <a:fillRect/>
                    </a:stretch>
                  </pic:blipFill>
                  <pic:spPr bwMode="auto">
                    <a:xfrm>
                      <a:off x="0" y="0"/>
                      <a:ext cx="5334000" cy="4122728"/>
                    </a:xfrm>
                    <a:prstGeom prst="rect">
                      <a:avLst/>
                    </a:prstGeom>
                    <a:noFill/>
                    <a:ln w="9525">
                      <a:noFill/>
                      <a:headEnd/>
                      <a:tailEnd/>
                    </a:ln>
                  </pic:spPr>
                </pic:pic>
              </a:graphicData>
            </a:graphic>
          </wp:inline>
        </w:drawing>
      </w:r>
      <w:r>
        <w:br/>
      </w:r>
      <w:r>
        <w:rPr>
          <w:i/>
          <w:iCs/>
        </w:rPr>
        <w:t xml:space="preserve">Figure 13: Empirical confusion matrix heatmaps showing raw candidate counts and row-normalized percentages across models and negative sampling regimes. (A) APEX-IDS2026: EvolveGCN-H on the test partition (Seed 42, N = 3,256,518 pairs; TN = 1,522,179 [93.5% of Inactive], FP = 106,080 [6.5%], FN = 143,248 [8.8% of Active], TP = 1,485,011 [91.2%]; Precision = 93.33%, Recall = 91.20%, F1 = 92.26%). (B) APEX-IDS2026: Persistence baseline (Seed 42, N = 3,256,518 pairs; TN = 1,628,091 [99.99%], FP = 168 [0.01%], FN = 608,898 [37.4%], TP = 1,019,361 [62.6%]; Precision = 99.98%, Recall = 62.60%, F1 = 77.00%). (C) CIC-IDS2017: EvolveGCN-H under Setting A (Hard Historical Negatives, Day 4 transition, Seed 42, N = 4,000 pairs; TN = 1,061 [53.1%], FP = 939 [46.9%], FN = 18 [0.9%], TP = 1,982 [99.1%]; Precision = 67.85%, Recall = 99.10%, F1 = 80.55%). (D) CIC-IDS2017: EvolveGCN-H under Setting B (Mixed Random Negatives, Day 4 transition, Seed 42, N = 4,000 pairs; TN = 1,397 [69.9%], FP = 603 [30.1%], FN = 18 [0.9%], TP = 1,982 [99.1%]; Precision = 76.67%, Recall = 99.10%, F1 = 86.46%).</w:t>
      </w:r>
    </w:p>
    <w:p>
      <w:r>
        <w:pict>
          <v:rect style="width:0;height:1.5pt" o:hralign="center" o:hrstd="t" o:hr="t"/>
        </w:pict>
      </w:r>
    </w:p>
    <w:bookmarkEnd w:id="85"/>
    <w:bookmarkEnd w:id="86"/>
    <w:bookmarkStart w:id="87" w:name="limitations-and-threats-to-validity"/>
    <w:p>
      <w:pPr>
        <w:pStyle w:val="Heading2"/>
      </w:pPr>
      <w:r>
        <w:t xml:space="preserve">7. Limitations and Threats to Validity</w:t>
      </w:r>
    </w:p>
    <w:p>
      <w:pPr>
        <w:pStyle w:val="Compact"/>
        <w:numPr>
          <w:ilvl w:val="0"/>
          <w:numId w:val="1006"/>
        </w:numPr>
      </w:pPr>
      <w:r>
        <w:rPr>
          <w:b/>
          <w:bCs/>
        </w:rPr>
        <w:t xml:space="preserve">Restricted Empirical Scope:</w:t>
      </w:r>
      <w:r>
        <w:t xml:space="preserve"> </w:t>
      </w:r>
      <w:r>
        <w:t xml:space="preserve">Our findings are strictly restricted to the evaluated telemetry streams (APEX-IDS2026, 44 days; CIC-IDS2017, 5 days) under the specified snapshot and candidate generation protocol. They do not constitute universal claims regarding all enterprise networks or intrusion detection datasets.</w:t>
      </w:r>
    </w:p>
    <w:p>
      <w:pPr>
        <w:pStyle w:val="Compact"/>
        <w:numPr>
          <w:ilvl w:val="0"/>
          <w:numId w:val="1006"/>
        </w:numPr>
      </w:pPr>
      <w:r>
        <w:rPr>
          <w:b/>
          <w:bCs/>
        </w:rPr>
        <w:t xml:space="preserve">Single-Transition Test Split on CIC-IDS2017:</w:t>
      </w:r>
      <w:r>
        <w:t xml:space="preserve"> </w:t>
      </w:r>
      <w:r>
        <w:t xml:space="preserve">Due to the 5-day duration of CIC-IDS2017 and the requirement for chronological train/validation/test ordering (Monday–Wednesday train, Thursday validation), the test split contains exactly</w:t>
      </w:r>
      <w:r>
        <w:t xml:space="preserve"> </w:t>
      </w:r>
      <w:r>
        <w:rPr>
          <w:b/>
          <w:bCs/>
        </w:rPr>
        <w:t xml:space="preserve">one daily transition</w:t>
      </w:r>
      <w:r>
        <w:t xml:space="preserve"> </w:t>
      </w:r>
      <w:r>
        <w:t xml:space="preserve">(Thursday to Friday). While sub-daily windowing partially mitigates this, CIC test evaluations inherently represent a single calendar day.</w:t>
      </w:r>
    </w:p>
    <w:p>
      <w:pPr>
        <w:pStyle w:val="Compact"/>
        <w:numPr>
          <w:ilvl w:val="0"/>
          <w:numId w:val="1006"/>
        </w:numPr>
      </w:pPr>
      <w:r>
        <w:rPr>
          <w:b/>
          <w:bCs/>
        </w:rPr>
        <w:t xml:space="preserve">Statistical Interpretation of Seeds:</w:t>
      </w:r>
      <w:r>
        <w:t xml:space="preserve"> </w:t>
      </w:r>
      <w:r>
        <w:t xml:space="preserve">The five random seeds (</w:t>
      </w:r>
      <w:r>
        <w:rPr>
          <w:rStyle w:val="VerbatimChar"/>
        </w:rPr>
        <w:t xml:space="preserve">[42, 100, 123, 456, 999]</w:t>
      </w:r>
      <w:r>
        <w:t xml:space="preserve">) measure algorithmic initialization and candidate-sampling variability within the fixed temporal partitions. They do</w:t>
      </w:r>
      <w:r>
        <w:t xml:space="preserve"> </w:t>
      </w:r>
      <w:r>
        <w:rPr>
          <w:b/>
          <w:bCs/>
        </w:rPr>
        <w:t xml:space="preserve">not</w:t>
      </w:r>
      <w:r>
        <w:t xml:space="preserve"> </w:t>
      </w:r>
      <w:r>
        <w:t xml:space="preserve">represent independent temporal test periods, nor do they establish general temporal invariance across unobserved timeframes or seasonal network shifts. Following our candidate generation overhaul with stable lexicographical sorting of candidate pools and known nodes, candidate generation is 100% deterministic and bit-for-bit reproducible across separate Python processes regardless of</w:t>
      </w:r>
      <w:r>
        <w:t xml:space="preserve"> </w:t>
      </w:r>
      <w:r>
        <w:rPr>
          <w:rStyle w:val="VerbatimChar"/>
        </w:rPr>
        <w:t xml:space="preserve">PYTHONHASHSEED</w:t>
      </w:r>
      <w:r>
        <w:t xml:space="preserve">, as verified in unit regression tests.</w:t>
      </w:r>
    </w:p>
    <w:p>
      <w:pPr>
        <w:pStyle w:val="Compact"/>
        <w:numPr>
          <w:ilvl w:val="0"/>
          <w:numId w:val="1006"/>
        </w:numPr>
      </w:pPr>
      <w:r>
        <w:rPr>
          <w:b/>
          <w:bCs/>
        </w:rPr>
        <w:t xml:space="preserve">Base-Rate Fallacy in Deployment:</w:t>
      </w:r>
      <w:r>
        <w:t xml:space="preserve"> </w:t>
      </w:r>
      <w:r>
        <w:t xml:space="preserve">In operational networks, the ratio of active edges to potential non-edges is on the order of</w:t>
      </w:r>
      <w:r>
        <w:t xml:space="preserve"> </w:t>
      </w:r>
      <m:oMath>
        <m:r>
          <m:t>1</m:t>
        </m:r>
        <m:r>
          <m:rPr>
            <m:sty m:val="p"/>
          </m:rPr>
          <m:t>:</m:t>
        </m:r>
        <m:sSup>
          <m:e>
            <m:r>
              <m:t>10</m:t>
            </m:r>
          </m:e>
          <m:sup>
            <m:r>
              <m:t>5</m:t>
            </m:r>
          </m:sup>
        </m:sSup>
      </m:oMath>
      <w:r>
        <w:t xml:space="preserve"> </w:t>
      </w:r>
      <w:r>
        <w:t xml:space="preserve">or greater. The balanced 1:1 candidate ratio evaluated here serves as a controlled comparative benchmark; operational precision in an uncurated deployment would be substantially lower due to extreme class imbalance, and balanced ROC-AUC/Average Precision values cannot be directly extrapolated to operational detection efficacy.</w:t>
      </w:r>
    </w:p>
    <w:p>
      <w:pPr>
        <w:pStyle w:val="Compact"/>
        <w:numPr>
          <w:ilvl w:val="0"/>
          <w:numId w:val="1006"/>
        </w:numPr>
      </w:pPr>
      <w:r>
        <w:rPr>
          <w:b/>
          <w:bCs/>
        </w:rPr>
        <w:t xml:space="preserve">Absence of Flow Semantic Attributes in GNN:</w:t>
      </w:r>
      <w:r>
        <w:t xml:space="preserve"> </w:t>
      </w:r>
      <w:r>
        <w:t xml:space="preserve">EvolveGCN-H was evaluated strictly on structural degree features to isolate topological learning. Integrating rich flow attributes (bytes, packets, flags, duration) into dynamic GNN edges remains necessary to determine whether neural models can surpass heuristic baselines.</w:t>
      </w:r>
    </w:p>
    <w:p>
      <w:pPr>
        <w:pStyle w:val="Compact"/>
        <w:numPr>
          <w:ilvl w:val="0"/>
          <w:numId w:val="1006"/>
        </w:numPr>
      </w:pPr>
      <w:r>
        <w:rPr>
          <w:b/>
          <w:bCs/>
        </w:rPr>
        <w:t xml:space="preserve">Unverifiable Operational Claims in Dataset Provenance:</w:t>
      </w:r>
      <w:r>
        <w:t xml:space="preserve"> </w:t>
      </w:r>
      <w:r>
        <w:t xml:space="preserve">While cryptographic checksums (MD5 against the Zenodo deposit record; SHA-256) confirm local archive file integrity, and the 69.1M flow count and anonymized graph topology are directly computed from the extracted files, operational infrastructure claims (such as live MikroTik router collection on ISP infrastructure, 13,638 unique attacker IPs across 60 countries, and a claimed 0% false-positive rate for honeypot ground truth) represent third-party</w:t>
      </w:r>
      <w:r>
        <w:t xml:space="preserve"> </w:t>
      </w:r>
      <w:r>
        <w:rPr>
          <w:i/>
          <w:iCs/>
        </w:rPr>
        <w:t xml:space="preserve">dataset assertions</w:t>
      </w:r>
      <w:r>
        <w:t xml:space="preserve"> </w:t>
      </w:r>
      <w:r>
        <w:t xml:space="preserve">that cannot be independently audited because raw PCAP traces and cleartext IPs are unavailable.</w:t>
      </w:r>
    </w:p>
    <w:p>
      <w:pPr>
        <w:pStyle w:val="Compact"/>
        <w:numPr>
          <w:ilvl w:val="0"/>
          <w:numId w:val="1006"/>
        </w:numPr>
      </w:pPr>
      <w:r>
        <w:rPr>
          <w:b/>
          <w:bCs/>
        </w:rPr>
        <w:t xml:space="preserve">Model Architecture Scope and Omission of Continuous-Time Models:</w:t>
      </w:r>
      <w:r>
        <w:t xml:space="preserve"> </w:t>
      </w:r>
      <w:r>
        <w:t xml:space="preserve">We evaluate an adapted EvolveGCN-H variant (global mean pooling with vectorized GRU parameter evolution) rather than canonical top-</w:t>
      </w:r>
      <m:oMath>
        <m:r>
          <m:t>k</m:t>
        </m:r>
      </m:oMath>
      <w:r>
        <w:t xml:space="preserve"> </w:t>
      </w:r>
      <w:r>
        <w:t xml:space="preserve">node-selection EvolveGCN-H. Conclusions regarding recurrent parameter evolution apply to this specific implementation. Continuous-time dynamic models (TGN, DyRep) and attention-based snapshot architectures (DySAT) were omitted because they require microsecond-level continuous edge event queues or fine-grained temporal self-attention over node histories. In our telemetry setting, network telemetry is aggregated into discrete chronological snapshots (24h, 12h, 6h, 1h) to scale to tens of millions of network flows across enterprise networks. Implementing TGN or DySAT on graphs with</w:t>
      </w:r>
      <w:r>
        <w:t xml:space="preserve"> </w:t>
      </w:r>
      <m:oMath>
        <m:r>
          <m:rPr>
            <m:sty m:val="p"/>
          </m:rPr>
          <m:t>&gt;</m:t>
        </m:r>
        <m:r>
          <m:t>400</m:t>
        </m:r>
        <m:r>
          <m:rPr>
            <m:sty m:val="p"/>
          </m:rPr>
          <m:t>,</m:t>
        </m:r>
        <m:r>
          <m:t>000</m:t>
        </m:r>
      </m:oMath>
      <w:r>
        <w:t xml:space="preserve"> </w:t>
      </w:r>
      <w:r>
        <w:t xml:space="preserve">nodes requires streaming edge queues and GPU memory that exceed typical batch graph constraints; we document this omission clearly as an architectural boundary of discrete snapshot benchmarks.</w:t>
      </w:r>
    </w:p>
    <w:p>
      <w:pPr>
        <w:pStyle w:val="Compact"/>
        <w:numPr>
          <w:ilvl w:val="0"/>
          <w:numId w:val="1006"/>
        </w:numPr>
      </w:pPr>
      <w:r>
        <w:rPr>
          <w:b/>
          <w:bCs/>
        </w:rPr>
        <w:t xml:space="preserve">Candidate-Universe Asymmetry and Stratification Limitations:</w:t>
      </w:r>
      <w:r>
        <w:t xml:space="preserve"> </w:t>
      </w:r>
      <w:r>
        <w:t xml:space="preserve">In the controlled 5-seed benchmark, positive candidate sets are evaluated jointly as</w:t>
      </w:r>
      <w:r>
        <w:t xml:space="preserve"> </w:t>
      </w:r>
      <m:oMath>
        <m:sSubSup>
          <m:e>
            <m:r>
              <m:t>E</m:t>
            </m:r>
          </m:e>
          <m:sub>
            <m:r>
              <m:t>t</m:t>
            </m:r>
            <m:r>
              <m:rPr>
                <m:sty m:val="p"/>
              </m:rPr>
              <m:t>+</m:t>
            </m:r>
            <m:r>
              <m:t>1</m:t>
            </m:r>
          </m:sub>
          <m:sup>
            <m:r>
              <m:rPr>
                <m:nor/>
                <m:sty m:val="p"/>
              </m:rPr>
              <m:t>eval</m:t>
            </m:r>
          </m:sup>
        </m:sSubSup>
      </m:oMath>
      <w:r>
        <w:t xml:space="preserve"> </w:t>
      </w:r>
      <w:r>
        <w:t xml:space="preserve">(</w:t>
      </w:r>
      <m:oMath>
        <m:r>
          <m:t>1</m:t>
        </m:r>
        <m:r>
          <m:rPr>
            <m:sty m:val="p"/>
          </m:rPr>
          <m:t>:</m:t>
        </m:r>
        <m:r>
          <m:t>1</m:t>
        </m:r>
      </m:oMath>
      <w:r>
        <w:t xml:space="preserve"> </w:t>
      </w:r>
      <w:r>
        <w:t xml:space="preserve">balanced with negative candidate sets). Stratified analysis reveals that on APEX, recurring edges comprise</w:t>
      </w:r>
      <w:r>
        <w:t xml:space="preserve"> </w:t>
      </w:r>
      <m:oMath>
        <m:r>
          <m:t>62.60</m:t>
        </m:r>
        <m:r>
          <m:rPr>
            <m:sty m:val="p"/>
          </m:rPr>
          <m:t>%</m:t>
        </m:r>
      </m:oMath>
      <w:r>
        <w:t xml:space="preserve"> </w:t>
      </w:r>
      <w:r>
        <w:t xml:space="preserve">of positive edges in the uncapped test partition, while new edges between active known nodes comprise</w:t>
      </w:r>
      <w:r>
        <w:t xml:space="preserve"> </w:t>
      </w:r>
      <m:oMath>
        <m:r>
          <m:t>37.40</m:t>
        </m:r>
        <m:r>
          <m:rPr>
            <m:sty m:val="p"/>
          </m:rPr>
          <m:t>%</m:t>
        </m:r>
      </m:oMath>
      <w:r>
        <w:t xml:space="preserve">. Furthermore, Setting B samples negatives strictly from</w:t>
      </w:r>
      <w:r>
        <w:t xml:space="preserve"> </w:t>
      </w:r>
      <m:oMath>
        <m:sSub>
          <m:e>
            <m:r>
              <m:t>V</m:t>
            </m:r>
          </m:e>
          <m:sub>
            <m:r>
              <m:t>t</m:t>
            </m:r>
          </m:sub>
        </m:sSub>
        <m:r>
          <m:rPr>
            <m:sty m:val="p"/>
          </m:rPr>
          <m:t>×</m:t>
        </m:r>
        <m:sSub>
          <m:e>
            <m:r>
              <m:t>V</m:t>
            </m:r>
          </m:e>
          <m:sub>
            <m:r>
              <m:t>t</m:t>
            </m:r>
          </m:sub>
        </m:sSub>
      </m:oMath>
      <w:r>
        <w:t xml:space="preserve"> </w:t>
      </w:r>
      <w:r>
        <w:t xml:space="preserve">while positive candidates include a</w:t>
      </w:r>
      <w:r>
        <w:t xml:space="preserve"> </w:t>
      </w:r>
      <m:oMath>
        <m:r>
          <m:rPr>
            <m:sty m:val="p"/>
          </m:rPr>
          <m:t>≈</m:t>
        </m:r>
        <m:r>
          <m:t>18</m:t>
        </m:r>
        <m:r>
          <m:rPr>
            <m:sty m:val="p"/>
          </m:rPr>
          <m:t>−</m:t>
        </m:r>
        <m:r>
          <m:t>21</m:t>
        </m:r>
        <m:r>
          <m:rPr>
            <m:sty m:val="p"/>
          </m:rPr>
          <m:t>%</m:t>
        </m:r>
      </m:oMath>
      <w:r>
        <w:t xml:space="preserve"> </w:t>
      </w:r>
      <w:r>
        <w:t xml:space="preserve">minority of re-emerging historical nodes (</w:t>
      </w:r>
      <m:oMath>
        <m:sSub>
          <m:e>
            <m:r>
              <m:t>V</m:t>
            </m:r>
          </m:e>
          <m:sub>
            <m:r>
              <m:rPr>
                <m:sty m:val="p"/>
              </m:rPr>
              <m:t>&lt;</m:t>
            </m:r>
            <m:r>
              <m:t>t</m:t>
            </m:r>
          </m:sub>
        </m:sSub>
        <m:r>
          <m:rPr>
            <m:sty m:val="p"/>
          </m:rPr>
          <m:t>\</m:t>
        </m:r>
        <m:sSub>
          <m:e>
            <m:r>
              <m:t>V</m:t>
            </m:r>
          </m:e>
          <m:sub>
            <m:r>
              <m:t>t</m:t>
            </m:r>
          </m:sub>
        </m:sSub>
      </m:oMath>
      <w:r>
        <w:t xml:space="preserve">); negative candidates in Setting B therefore never contain dormant historical endpoints. Metrics across Setting A and Setting B reflect different candidate universes and are not directly comparable. We state this candidate-universe asymmetry as an explicit methodological limitation rather than claiming unseen-node or candidate-universe concerns are fully resolved.</w:t>
      </w:r>
    </w:p>
    <w:p>
      <w:r>
        <w:pict>
          <v:rect style="width:0;height:1.5pt" o:hralign="center" o:hrstd="t" o:hr="t"/>
        </w:pict>
      </w:r>
    </w:p>
    <w:bookmarkEnd w:id="87"/>
    <w:bookmarkStart w:id="88" w:name="conclusion-and-future-work"/>
    <w:p>
      <w:pPr>
        <w:pStyle w:val="Heading2"/>
      </w:pPr>
      <w:r>
        <w:t xml:space="preserve">8. Conclusion and Future Work</w:t>
      </w:r>
    </w:p>
    <w:p>
      <w:pPr>
        <w:pStyle w:val="FirstParagraph"/>
      </w:pPr>
      <w:r>
        <w:t xml:space="preserve">Temporal link prediction in network security is highly sensitive to negative candidate sampling regimes and underlying topological churn. Random negative sampling flatters persistence and memorization baselines by masking link-extinction failures, whereas hard historical negatives reveal substantial precision degradation. Across continuous enterprise telemetry (APEX-IDS2026) and laboratory cyber-range data (CIC-IDS2017), sliding-window memory (EdgeBank-tw) and Common Neighbors heuristics provide robust, competitive baselines that outperform both unbounded memory and adapted recurrent GCN variants. On CIC-IDS2017, five seeds measure algorithmic and candidate-sampling variability across a single chronological test transition rather than independent temporal periods; conclusions should not be extrapolated to unobserved timeframes or long-term operational networks without multi-month continuous evaluation. Rigorous dynamic network security evaluations must enforce chronological candidate stratification, report hard historical negatives, evaluate threshold-free continuous metrics alongside thresholded decisions, and transparently acknowledge optimization boundaries.</w:t>
      </w:r>
    </w:p>
    <w:p>
      <w:pPr>
        <w:pStyle w:val="BodyText"/>
      </w:pPr>
      <w:r>
        <w:t xml:space="preserve">Future work will expand this benchmark in three directions: (1) evaluating continuous-time dynamic graph neural networks (e.g., TGN, DyGFormer) that update node representations on individual edge arrivals; (2) incorporating semantic flow-level attributes (packet lengths, inter-arrival times, protocol flags) alongside structural degree encodings to assess multi-modal dynamic representation learning; and (3) formalizing matched-universe negative sampling protocols that evaluate candidate non-edges drawn across identical historical universes to further isolate the impact of dormant host re-emergence.</w:t>
      </w:r>
    </w:p>
    <w:p>
      <w:r>
        <w:pict>
          <v:rect style="width:0;height:1.5pt" o:hralign="center" o:hrstd="t" o:hr="t"/>
        </w:pict>
      </w:r>
    </w:p>
    <w:bookmarkEnd w:id="88"/>
    <w:bookmarkStart w:id="89" w:name="credit-authorship-contribution-statement"/>
    <w:p>
      <w:pPr>
        <w:pStyle w:val="Heading2"/>
      </w:pPr>
      <w:r>
        <w:t xml:space="preserve">CRediT Authorship Contribution Statement</w:t>
      </w:r>
    </w:p>
    <w:p>
      <w:pPr>
        <w:pStyle w:val="Compact"/>
        <w:numPr>
          <w:ilvl w:val="0"/>
          <w:numId w:val="1007"/>
        </w:numPr>
      </w:pPr>
      <w:r>
        <w:rPr>
          <w:b/>
          <w:bCs/>
        </w:rPr>
        <w:t xml:space="preserve">Dheeraj Kovoord:</w:t>
      </w:r>
      <w:r>
        <w:t xml:space="preserve"> </w:t>
      </w:r>
      <w:r>
        <w:t xml:space="preserve">Conceptualization, Methodology, Software, Formal Analysis, Investigation, Data Curation, Writing – Original Draft, Writing – Review &amp; Editing, Visualization, Project Administration.</w:t>
      </w:r>
    </w:p>
    <w:p>
      <w:pPr>
        <w:pStyle w:val="Compact"/>
        <w:numPr>
          <w:ilvl w:val="0"/>
          <w:numId w:val="1007"/>
        </w:numPr>
      </w:pPr>
      <w:r>
        <w:rPr>
          <w:b/>
          <w:bCs/>
        </w:rPr>
        <w:t xml:space="preserve">Research Team:</w:t>
      </w:r>
      <w:r>
        <w:t xml:space="preserve"> </w:t>
      </w:r>
      <w:r>
        <w:t xml:space="preserve">Supervision, Validation, Resources.</w:t>
      </w:r>
    </w:p>
    <w:p>
      <w:r>
        <w:pict>
          <v:rect style="width:0;height:1.5pt" o:hralign="center" o:hrstd="t" o:hr="t"/>
        </w:pict>
      </w:r>
    </w:p>
    <w:bookmarkEnd w:id="89"/>
    <w:bookmarkStart w:id="90" w:name="declaration-of-competing-interest"/>
    <w:p>
      <w:pPr>
        <w:pStyle w:val="Heading2"/>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p>
      <w:r>
        <w:pict>
          <v:rect style="width:0;height:1.5pt" o:hralign="center" o:hrstd="t" o:hr="t"/>
        </w:pict>
      </w:r>
    </w:p>
    <w:bookmarkEnd w:id="90"/>
    <w:bookmarkStart w:id="91" w:name="acknowledgements-funding"/>
    <w:p>
      <w:pPr>
        <w:pStyle w:val="Heading2"/>
      </w:pPr>
      <w:r>
        <w:t xml:space="preserve">Acknowledgements &amp; Funding</w:t>
      </w:r>
    </w:p>
    <w:p>
      <w:pPr>
        <w:pStyle w:val="FirstParagraph"/>
      </w:pPr>
      <w:r>
        <w:t xml:space="preserve">The authors express their gratitude to the Canadian Institute for Cybersecurity for public distribution of the CIC-IDS2017 cyber-range dataset, and to the creators of the APEX-IDS2026 benchmark dataset deposited on Zenodo. This research did not receive any specific grant from funding agencies in the public, commercial, or not-for-profit sectors.</w:t>
      </w:r>
    </w:p>
    <w:p>
      <w:r>
        <w:pict>
          <v:rect style="width:0;height:1.5pt" o:hralign="center" o:hrstd="t" o:hr="t"/>
        </w:pict>
      </w:r>
    </w:p>
    <w:bookmarkEnd w:id="91"/>
    <w:bookmarkStart w:id="92" w:name="data-and-code-availability-statement"/>
    <w:p>
      <w:pPr>
        <w:pStyle w:val="Heading2"/>
      </w:pPr>
      <w:r>
        <w:t xml:space="preserve">Data and Code Availability Statement</w:t>
      </w:r>
    </w:p>
    <w:p>
      <w:pPr>
        <w:pStyle w:val="Compact"/>
        <w:numPr>
          <w:ilvl w:val="0"/>
          <w:numId w:val="1008"/>
        </w:numPr>
      </w:pPr>
      <w:r>
        <w:rPr>
          <w:b/>
          <w:bCs/>
        </w:rPr>
        <w:t xml:space="preserve">CIC-IDS2017:</w:t>
      </w:r>
      <w:r>
        <w:t xml:space="preserve"> </w:t>
      </w:r>
      <w:r>
        <w:t xml:space="preserve">Publicly distributed by the Canadian Institute for Cybersecurity, University of New Brunswick (https://www.unb.ca/cic/datasets/ids-2017.html).</w:t>
      </w:r>
    </w:p>
    <w:p>
      <w:pPr>
        <w:pStyle w:val="Compact"/>
        <w:numPr>
          <w:ilvl w:val="0"/>
          <w:numId w:val="1008"/>
        </w:numPr>
      </w:pPr>
      <w:r>
        <w:rPr>
          <w:b/>
          <w:bCs/>
        </w:rPr>
        <w:t xml:space="preserve">APEX-IDS2026:</w:t>
      </w:r>
      <w:r>
        <w:t xml:space="preserve"> </w:t>
      </w:r>
      <w:r>
        <w:t xml:space="preserve">Distributed on Zenodo under the Creative Commons Attribution 4.0 International (CC BY 4.0) license (DOI:</w:t>
      </w:r>
      <w:r>
        <w:t xml:space="preserve"> </w:t>
      </w:r>
      <w:r>
        <w:rPr>
          <w:rStyle w:val="VerbatimChar"/>
        </w:rPr>
        <w:t xml:space="preserve">10.5281/zenodo.22013914</w:t>
      </w:r>
      <w:r>
        <w:t xml:space="preserve">, Archive MD5:</w:t>
      </w:r>
      <w:r>
        <w:t xml:space="preserve"> </w:t>
      </w:r>
      <w:r>
        <w:rPr>
          <w:rStyle w:val="VerbatimChar"/>
        </w:rPr>
        <w:t xml:space="preserve">115ed72bb8759d3ce90fe17c52a0ee98</w:t>
      </w:r>
      <w:r>
        <w:t xml:space="preserve">, Parquet SHA-256:</w:t>
      </w:r>
      <w:r>
        <w:t xml:space="preserve"> </w:t>
      </w:r>
      <w:r>
        <w:rPr>
          <w:rStyle w:val="VerbatimChar"/>
        </w:rPr>
        <w:t xml:space="preserve">7e7855964ddc8061804fa48acfd6c2a3e1891462466654f9294cdab58744730c</w:t>
      </w:r>
      <w:r>
        <w:t xml:space="preserve">, URL: https://doi.org/10.5281/zenodo.22013914).</w:t>
      </w:r>
    </w:p>
    <w:p>
      <w:pPr>
        <w:pStyle w:val="Compact"/>
        <w:numPr>
          <w:ilvl w:val="0"/>
          <w:numId w:val="1008"/>
        </w:numPr>
      </w:pPr>
      <w:r>
        <w:rPr>
          <w:b/>
          <w:bCs/>
        </w:rPr>
        <w:t xml:space="preserve">Code and Benchmark Metrics:</w:t>
      </w:r>
      <w:r>
        <w:t xml:space="preserve"> </w:t>
      </w:r>
      <w:r>
        <w:t xml:space="preserve">Complete evaluation scripts, baseline implementations, candidate samplers, and structured CSV/JSON results are available within the project repository under an open-source license.</w:t>
      </w:r>
    </w:p>
    <w:p>
      <w:r>
        <w:pict>
          <v:rect style="width:0;height:1.5pt" o:hralign="center" o:hrstd="t" o:hr="t"/>
        </w:pict>
      </w:r>
    </w:p>
    <w:bookmarkEnd w:id="92"/>
    <w:bookmarkStart w:id="93" w:name="references"/>
    <w:p>
      <w:pPr>
        <w:pStyle w:val="Heading2"/>
      </w:pPr>
      <w:r>
        <w:t xml:space="preserve">References</w:t>
      </w:r>
    </w:p>
    <w:p>
      <w:pPr>
        <w:pStyle w:val="Compact"/>
        <w:numPr>
          <w:ilvl w:val="0"/>
          <w:numId w:val="1009"/>
        </w:numPr>
      </w:pPr>
      <w:r>
        <w:t xml:space="preserve">Arp, D., Quiring, E., Pendlebury, F., Warnecke, A., Pierazzi, F., Dos Santos, R., Cavallaro, L., &amp; Rieck, K. (2022). Dos and don’ts of machine learning in computer security.</w:t>
      </w:r>
      <w:r>
        <w:t xml:space="preserve"> </w:t>
      </w:r>
      <w:r>
        <w:rPr>
          <w:i/>
          <w:iCs/>
        </w:rPr>
        <w:t xml:space="preserve">Proceedings of the 31st USENIX Security Symposium</w:t>
      </w:r>
      <w:r>
        <w:t xml:space="preserve">, 3971–3988.</w:t>
      </w:r>
    </w:p>
    <w:p>
      <w:pPr>
        <w:pStyle w:val="Compact"/>
        <w:numPr>
          <w:ilvl w:val="0"/>
          <w:numId w:val="1009"/>
        </w:numPr>
      </w:pPr>
      <w:r>
        <w:t xml:space="preserve">Axelsson, S. (2000). The base-rate fallacy and the difficulty of intrusion detection.</w:t>
      </w:r>
      <w:r>
        <w:t xml:space="preserve"> </w:t>
      </w:r>
      <w:r>
        <w:rPr>
          <w:i/>
          <w:iCs/>
        </w:rPr>
        <w:t xml:space="preserve">ACM Transactions on Information and System Security (TISSEC)</w:t>
      </w:r>
      <w:r>
        <w:t xml:space="preserve">, 3(3), 186–205.</w:t>
      </w:r>
    </w:p>
    <w:p>
      <w:pPr>
        <w:pStyle w:val="Compact"/>
        <w:numPr>
          <w:ilvl w:val="0"/>
          <w:numId w:val="1009"/>
        </w:numPr>
      </w:pPr>
      <w:r>
        <w:t xml:space="preserve">Bilot, T., El Madhoun, N., Al Agha, K., &amp; Zouaoui, A. (2023). Graph neural networks for intrusion detection: A survey.</w:t>
      </w:r>
      <w:r>
        <w:t xml:space="preserve"> </w:t>
      </w:r>
      <w:r>
        <w:rPr>
          <w:i/>
          <w:iCs/>
        </w:rPr>
        <w:t xml:space="preserve">IEEE Access</w:t>
      </w:r>
      <w:r>
        <w:t xml:space="preserve">, 11, 49114–49139.</w:t>
      </w:r>
    </w:p>
    <w:p>
      <w:pPr>
        <w:pStyle w:val="Compact"/>
        <w:numPr>
          <w:ilvl w:val="0"/>
          <w:numId w:val="1009"/>
        </w:numPr>
      </w:pPr>
      <w:r>
        <w:t xml:space="preserve">Engelen, G., Rimmer, V., &amp; Joosen, W. (2021). Troubleshooting an unintended cheat: Bandwidth and public IP features in the CIC-IDS-2017 dataset. In</w:t>
      </w:r>
      <w:r>
        <w:t xml:space="preserve"> </w:t>
      </w:r>
      <w:r>
        <w:rPr>
          <w:i/>
          <w:iCs/>
        </w:rPr>
        <w:t xml:space="preserve">Proceedings of the 2021 ACM Workshop on Cyber Threat Intelligence and Information Sharing (CyTII ’21)</w:t>
      </w:r>
      <w:r>
        <w:t xml:space="preserve"> </w:t>
      </w:r>
      <w:r>
        <w:t xml:space="preserve">(pp. 13–20). ACM. DOI: 10.1145/3474718.3474730.</w:t>
      </w:r>
    </w:p>
    <w:p>
      <w:pPr>
        <w:pStyle w:val="Compact"/>
        <w:numPr>
          <w:ilvl w:val="0"/>
          <w:numId w:val="1009"/>
        </w:numPr>
      </w:pPr>
      <w:r>
        <w:t xml:space="preserve">Ferrag, M. A., Friha, O., Hamouda, D., Maglaras, L., &amp; Janicke, H. (2022). Edge-IIoTset: A new comprehensive realistic cyber security dataset of IoT and IIoT applications for centralized and federated learning.</w:t>
      </w:r>
      <w:r>
        <w:t xml:space="preserve"> </w:t>
      </w:r>
      <w:r>
        <w:rPr>
          <w:i/>
          <w:iCs/>
        </w:rPr>
        <w:t xml:space="preserve">IEEE Access</w:t>
      </w:r>
      <w:r>
        <w:t xml:space="preserve">, 10, 40281–40306.</w:t>
      </w:r>
    </w:p>
    <w:p>
      <w:pPr>
        <w:pStyle w:val="Compact"/>
        <w:numPr>
          <w:ilvl w:val="0"/>
          <w:numId w:val="1009"/>
        </w:numPr>
      </w:pPr>
      <w:r>
        <w:t xml:space="preserve">Holme, P., &amp; Saramäki, J. (2012). Temporal networks.</w:t>
      </w:r>
      <w:r>
        <w:t xml:space="preserve"> </w:t>
      </w:r>
      <w:r>
        <w:rPr>
          <w:i/>
          <w:iCs/>
        </w:rPr>
        <w:t xml:space="preserve">Physics Reports</w:t>
      </w:r>
      <w:r>
        <w:t xml:space="preserve">, 519(3), 97–125.</w:t>
      </w:r>
    </w:p>
    <w:p>
      <w:pPr>
        <w:pStyle w:val="Compact"/>
        <w:numPr>
          <w:ilvl w:val="0"/>
          <w:numId w:val="1009"/>
        </w:numPr>
      </w:pPr>
      <w:r>
        <w:t xml:space="preserve">Huang, S., Poursafaei, F., Danovitch, J., Fey, M., Hu, W., Rossi, E., Leskovec, J., Bronstein, M., Rabusseau, G., &amp; Rabbany, R. (2023). Temporal graph benchmark for machine learning on temporal graphs.</w:t>
      </w:r>
      <w:r>
        <w:t xml:space="preserve"> </w:t>
      </w:r>
      <w:r>
        <w:rPr>
          <w:i/>
          <w:iCs/>
        </w:rPr>
        <w:t xml:space="preserve">Advances in Neural Information Processing Systems (NeurIPS)</w:t>
      </w:r>
      <w:r>
        <w:t xml:space="preserve">, 36, 15615–15642.</w:t>
      </w:r>
    </w:p>
    <w:p>
      <w:pPr>
        <w:pStyle w:val="Compact"/>
        <w:numPr>
          <w:ilvl w:val="0"/>
          <w:numId w:val="1009"/>
        </w:numPr>
      </w:pPr>
      <w:r>
        <w:t xml:space="preserve">Liben-Nowell, D., &amp; Kleinberg, J. (2007). The link-prediction problem for social networks.</w:t>
      </w:r>
      <w:r>
        <w:t xml:space="preserve"> </w:t>
      </w:r>
      <w:r>
        <w:rPr>
          <w:i/>
          <w:iCs/>
        </w:rPr>
        <w:t xml:space="preserve">Journal of the American Society for Information Science and Technology</w:t>
      </w:r>
      <w:r>
        <w:t xml:space="preserve">, 58(7), 1019–1031.</w:t>
      </w:r>
    </w:p>
    <w:p>
      <w:pPr>
        <w:pStyle w:val="Compact"/>
        <w:numPr>
          <w:ilvl w:val="0"/>
          <w:numId w:val="1009"/>
        </w:numPr>
      </w:pPr>
      <w:r>
        <w:t xml:space="preserve">Pareja, A., Domeniconi, G., Chen, J., Teng, Z., Pawar, T., Perugini, D., &amp; Kuleshov, V. (2020). EvolveGCN: Evolving graph convolutional networks for dynamic graphs.</w:t>
      </w:r>
      <w:r>
        <w:t xml:space="preserve"> </w:t>
      </w:r>
      <w:r>
        <w:rPr>
          <w:i/>
          <w:iCs/>
        </w:rPr>
        <w:t xml:space="preserve">Proceedings of the AAAI Conference on Artificial Intelligence</w:t>
      </w:r>
      <w:r>
        <w:t xml:space="preserve">, 34(04), 5363–5370.</w:t>
      </w:r>
    </w:p>
    <w:p>
      <w:pPr>
        <w:pStyle w:val="Compact"/>
        <w:numPr>
          <w:ilvl w:val="0"/>
          <w:numId w:val="1009"/>
        </w:numPr>
      </w:pPr>
      <w:r>
        <w:t xml:space="preserve">Poursafaei, F., Huang, S., Pelrine, K., &amp; Rabbany, R. (2022). Towards better evaluation for dynamic link prediction.</w:t>
      </w:r>
      <w:r>
        <w:t xml:space="preserve"> </w:t>
      </w:r>
      <w:r>
        <w:rPr>
          <w:i/>
          <w:iCs/>
        </w:rPr>
        <w:t xml:space="preserve">Advances in Neural Information Processing Systems (NeurIPS)</w:t>
      </w:r>
      <w:r>
        <w:t xml:space="preserve">, 35, 32965–32977.</w:t>
      </w:r>
    </w:p>
    <w:p>
      <w:pPr>
        <w:pStyle w:val="Compact"/>
        <w:numPr>
          <w:ilvl w:val="0"/>
          <w:numId w:val="1009"/>
        </w:numPr>
      </w:pPr>
      <w:r>
        <w:t xml:space="preserve">Rossi, E., Chamberlain, B., Frasca, F., Eynard, D., Monti, F., &amp; Bronstein, M. (2020). Temporal graph networks for deep learning on dynamic graphs.</w:t>
      </w:r>
      <w:r>
        <w:t xml:space="preserve"> </w:t>
      </w:r>
      <w:r>
        <w:rPr>
          <w:i/>
          <w:iCs/>
        </w:rPr>
        <w:t xml:space="preserve">ICML Workshop on Graph Representation Learning</w:t>
      </w:r>
      <w:r>
        <w:t xml:space="preserve">.</w:t>
      </w:r>
    </w:p>
    <w:p>
      <w:pPr>
        <w:pStyle w:val="Compact"/>
        <w:numPr>
          <w:ilvl w:val="0"/>
          <w:numId w:val="1009"/>
        </w:numPr>
      </w:pPr>
      <w:r>
        <w:t xml:space="preserve">Sankar, A., Wu, Y., Gou, L., Zhang, W., &amp; Yang, H. (2020). DySAT: Deep neural representation learning on dynamic graphs via self-attention networks.</w:t>
      </w:r>
      <w:r>
        <w:t xml:space="preserve"> </w:t>
      </w:r>
      <w:r>
        <w:rPr>
          <w:i/>
          <w:iCs/>
        </w:rPr>
        <w:t xml:space="preserve">Proceedings of the 13th International Conference on Web Search and Data Mining (WSDM)</w:t>
      </w:r>
      <w:r>
        <w:t xml:space="preserve">, 519–527.</w:t>
      </w:r>
    </w:p>
    <w:p>
      <w:pPr>
        <w:pStyle w:val="Compact"/>
        <w:numPr>
          <w:ilvl w:val="0"/>
          <w:numId w:val="1009"/>
        </w:numPr>
      </w:pPr>
      <w:r>
        <w:t xml:space="preserve">Sharafaldin, I., Lashkari, A. H., &amp; Ghorbani, A. A. (2018). Toward generating a new intrusion detection dataset and intrusion traffic characterization.</w:t>
      </w:r>
      <w:r>
        <w:t xml:space="preserve"> </w:t>
      </w:r>
      <w:r>
        <w:rPr>
          <w:i/>
          <w:iCs/>
        </w:rPr>
        <w:t xml:space="preserve">Proceedings of the 4th International Conference on Information Systems Security and Privacy (ICISSP)</w:t>
      </w:r>
      <w:r>
        <w:t xml:space="preserve">, 108–116.</w:t>
      </w:r>
    </w:p>
    <w:p>
      <w:pPr>
        <w:pStyle w:val="Compact"/>
        <w:numPr>
          <w:ilvl w:val="0"/>
          <w:numId w:val="1009"/>
        </w:numPr>
      </w:pPr>
      <w:r>
        <w:t xml:space="preserve">Sommer, R., &amp; Paxson, V. (2010). Outside the closed world: On using machine learning for network intrusion detection.</w:t>
      </w:r>
      <w:r>
        <w:t xml:space="preserve"> </w:t>
      </w:r>
      <w:r>
        <w:rPr>
          <w:i/>
          <w:iCs/>
        </w:rPr>
        <w:t xml:space="preserve">IEEE Symposium on Security and Privacy (S&amp;P)</w:t>
      </w:r>
      <w:r>
        <w:t xml:space="preserve">, 305–316.</w:t>
      </w:r>
    </w:p>
    <w:p>
      <w:pPr>
        <w:pStyle w:val="Compact"/>
        <w:numPr>
          <w:ilvl w:val="0"/>
          <w:numId w:val="1009"/>
        </w:numPr>
      </w:pPr>
      <w:r>
        <w:t xml:space="preserve">Wang, Y., Chang, Y.-Y., Liu, Y., Leskovec, J., &amp; Li, P. (2023). DyGLib: A unified library for dynamic graph learning.</w:t>
      </w:r>
      <w:r>
        <w:t xml:space="preserve"> </w:t>
      </w:r>
      <w:r>
        <w:rPr>
          <w:i/>
          <w:iCs/>
        </w:rPr>
        <w:t xml:space="preserve">Advances in Neural Information Processing Systems (NeurIPS)</w:t>
      </w:r>
      <w:r>
        <w:t xml:space="preserve">, 36.</w:t>
      </w:r>
    </w:p>
    <w:p>
      <w:pPr>
        <w:pStyle w:val="Compact"/>
        <w:numPr>
          <w:ilvl w:val="0"/>
          <w:numId w:val="1009"/>
        </w:numPr>
      </w:pPr>
      <w:r>
        <w:t xml:space="preserve">Xu, D., Ruan, C., Korpeoglu, E., Kumar, S., &amp; Achan, K. (2020). Inductive representation learning on temporal graphs.</w:t>
      </w:r>
      <w:r>
        <w:t xml:space="preserve"> </w:t>
      </w:r>
      <w:r>
        <w:rPr>
          <w:i/>
          <w:iCs/>
        </w:rPr>
        <w:t xml:space="preserve">International Conference on Learning Representations (ICLR)</w:t>
      </w:r>
      <w:r>
        <w:t xml:space="preserve">.</w:t>
      </w:r>
    </w:p>
    <w:p>
      <w:pPr>
        <w:pStyle w:val="Compact"/>
        <w:numPr>
          <w:ilvl w:val="0"/>
          <w:numId w:val="1009"/>
        </w:numPr>
      </w:pPr>
      <w:r>
        <w:t xml:space="preserve">APEX Research Team. (2026).</w:t>
      </w:r>
      <w:r>
        <w:t xml:space="preserve"> </w:t>
      </w:r>
      <w:r>
        <w:rPr>
          <w:i/>
          <w:iCs/>
        </w:rPr>
        <w:t xml:space="preserve">APEX-IDS2026: High-Confidence Enterprise Network Security Telemetry Dataset</w:t>
      </w:r>
      <w:r>
        <w:t xml:space="preserve"> </w:t>
      </w:r>
      <w:r>
        <w:t xml:space="preserve">[Data set]. Zenodo. https://doi.org/10.5281/zenodo.22013914</w:t>
      </w:r>
    </w:p>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4" Target="media/rId64.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2" Target="media/rId8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2026-10-16T20:02:05Z</dcterms:created>
  <dcterms:modified xsi:type="dcterms:W3CDTF">2026-10-16T20:02:05Z</dcterms:modified>
</cp:coreProperties>
</file>

<file path=docProps/custom.xml><?xml version="1.0" encoding="utf-8"?>
<Properties xmlns="http://schemas.openxmlformats.org/officeDocument/2006/custom-properties" xmlns:vt="http://schemas.openxmlformats.org/officeDocument/2006/docPropsVTypes"/>
</file>