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Calibri" w:hAnsi="Calibri"/>
          <w:color w:val="667085"/>
          <w:sz w:val="26"/>
        </w:rPr>
        <w:t>AVSAR - Startup-Friendly Public Procurement Platform</w:t>
      </w:r>
    </w:p>
    <w:p>
      <w:pPr>
        <w:spacing w:after="40"/>
      </w:pPr>
      <w:r>
        <w:rPr>
          <w:rFonts w:ascii="Calibri" w:hAnsi="Calibri"/>
          <w:b/>
          <w:color w:val="0B2447"/>
          <w:sz w:val="60"/>
        </w:rPr>
        <w:t>Data Retention Policy</w:t>
      </w:r>
    </w:p>
    <w:p>
      <w:r>
        <w:rPr>
          <w:rFonts w:ascii="Calibri" w:hAnsi="Calibri"/>
          <w:color w:val="05639E"/>
          <w:sz w:val="24"/>
        </w:rPr>
        <w:t>What AVSAR keeps, for how long, on what legal basis, and how it is erased</w:t>
      </w:r>
    </w:p>
    <w:p>
      <w:pPr>
        <w:spacing w:before="520"/>
      </w:pPr>
      <w:r>
        <w:rPr>
          <w:b/>
          <w:color w:val="0B2447"/>
          <w:sz w:val="22"/>
        </w:rPr>
        <w:t>Document control</w:t>
      </w:r>
    </w:p>
    <w:tbl>
      <w:tblPr>
        <w:tblStyle w:val="TableGrid"/>
        <w:tblW w:type="auto" w:w="0"/>
        <w:jc w:val="center"/>
        <w:tblLayout w:type="autofit"/>
        <w:tblLook w:firstColumn="1" w:firstRow="1" w:lastColumn="0" w:lastRow="0" w:noHBand="0" w:noVBand="1" w:val="04A0"/>
      </w:tblPr>
      <w:tblGrid>
        <w:gridCol w:w="4680"/>
        <w:gridCol w:w="4680"/>
      </w:tblGrid>
      <w:tr>
        <w:tc>
          <w:tcPr>
            <w:tcW w:type="dxa" w:w="2592"/>
            <w:shd w:val="clear" w:fill="0B2447"/>
          </w:tcPr>
          <w:p>
            <w:pPr>
              <w:spacing w:after="40" w:before="40"/>
            </w:pPr>
            <w:r/>
            <w:r>
              <w:rPr>
                <w:rFonts w:ascii="Calibri" w:hAnsi="Calibri"/>
                <w:b/>
                <w:color w:val="FFFFFF"/>
                <w:sz w:val="19"/>
              </w:rPr>
              <w:t>Field</w:t>
            </w:r>
          </w:p>
        </w:tc>
        <w:tc>
          <w:tcPr>
            <w:tcW w:type="dxa" w:w="6912"/>
            <w:shd w:val="clear" w:fill="0B2447"/>
          </w:tcPr>
          <w:p>
            <w:pPr>
              <w:spacing w:after="40" w:before="40"/>
            </w:pPr>
            <w:r/>
            <w:r>
              <w:rPr>
                <w:rFonts w:ascii="Calibri" w:hAnsi="Calibri"/>
                <w:b/>
                <w:color w:val="FFFFFF"/>
                <w:sz w:val="19"/>
              </w:rPr>
              <w:t>Value</w:t>
            </w:r>
          </w:p>
        </w:tc>
      </w:tr>
      <w:tr>
        <w:tc>
          <w:tcPr>
            <w:tcW w:type="dxa" w:w="2592"/>
          </w:tcPr>
          <w:p>
            <w:pPr>
              <w:spacing w:after="40" w:before="40"/>
            </w:pPr>
            <w:r/>
            <w:r>
              <w:rPr>
                <w:rFonts w:ascii="Calibri" w:hAnsi="Calibri"/>
                <w:b w:val="0"/>
                <w:color w:val="344054"/>
                <w:sz w:val="19"/>
              </w:rPr>
              <w:t>Document ID</w:t>
            </w:r>
          </w:p>
        </w:tc>
        <w:tc>
          <w:tcPr>
            <w:tcW w:type="dxa" w:w="6912"/>
          </w:tcPr>
          <w:p>
            <w:pPr>
              <w:spacing w:after="40" w:before="40"/>
            </w:pPr>
            <w:r/>
            <w:r>
              <w:rPr>
                <w:rFonts w:ascii="Calibri" w:hAnsi="Calibri"/>
                <w:b w:val="0"/>
                <w:color w:val="344054"/>
                <w:sz w:val="19"/>
              </w:rPr>
              <w:t>AVSAR-RET-010</w:t>
            </w:r>
          </w:p>
        </w:tc>
      </w:tr>
      <w:tr>
        <w:tc>
          <w:tcPr>
            <w:tcW w:type="dxa" w:w="2592"/>
            <w:shd w:val="clear" w:fill="F9FAFB"/>
          </w:tcPr>
          <w:p>
            <w:pPr>
              <w:spacing w:after="40" w:before="40"/>
            </w:pPr>
            <w:r/>
            <w:r>
              <w:rPr>
                <w:rFonts w:ascii="Calibri" w:hAnsi="Calibri"/>
                <w:b w:val="0"/>
                <w:color w:val="344054"/>
                <w:sz w:val="19"/>
              </w:rPr>
              <w:t>Version</w:t>
            </w:r>
          </w:p>
        </w:tc>
        <w:tc>
          <w:tcPr>
            <w:tcW w:type="dxa" w:w="6912"/>
            <w:shd w:val="clear" w:fill="F9FAFB"/>
          </w:tcPr>
          <w:p>
            <w:pPr>
              <w:spacing w:after="40" w:before="40"/>
            </w:pPr>
            <w:r/>
            <w:r>
              <w:rPr>
                <w:rFonts w:ascii="Calibri" w:hAnsi="Calibri"/>
                <w:b w:val="0"/>
                <w:color w:val="344054"/>
                <w:sz w:val="19"/>
              </w:rPr>
              <w:t>1.0</w:t>
            </w:r>
          </w:p>
        </w:tc>
      </w:tr>
      <w:tr>
        <w:tc>
          <w:tcPr>
            <w:tcW w:type="dxa" w:w="2592"/>
          </w:tcPr>
          <w:p>
            <w:pPr>
              <w:spacing w:after="40" w:before="40"/>
            </w:pPr>
            <w:r/>
            <w:r>
              <w:rPr>
                <w:rFonts w:ascii="Calibri" w:hAnsi="Calibri"/>
                <w:b w:val="0"/>
                <w:color w:val="344054"/>
                <w:sz w:val="19"/>
              </w:rPr>
              <w:t>Date</w:t>
            </w:r>
          </w:p>
        </w:tc>
        <w:tc>
          <w:tcPr>
            <w:tcW w:type="dxa" w:w="6912"/>
          </w:tcPr>
          <w:p>
            <w:pPr>
              <w:spacing w:after="40" w:before="40"/>
            </w:pPr>
            <w:r/>
            <w:r>
              <w:rPr>
                <w:rFonts w:ascii="Calibri" w:hAnsi="Calibri"/>
                <w:b w:val="0"/>
                <w:color w:val="344054"/>
                <w:sz w:val="19"/>
              </w:rPr>
              <w:t>03 September 2026</w:t>
            </w:r>
          </w:p>
        </w:tc>
      </w:tr>
      <w:tr>
        <w:tc>
          <w:tcPr>
            <w:tcW w:type="dxa" w:w="2592"/>
            <w:shd w:val="clear" w:fill="F9FAFB"/>
          </w:tcPr>
          <w:p>
            <w:pPr>
              <w:spacing w:after="40" w:before="40"/>
            </w:pPr>
            <w:r/>
            <w:r>
              <w:rPr>
                <w:rFonts w:ascii="Calibri" w:hAnsi="Calibri"/>
                <w:b w:val="0"/>
                <w:color w:val="344054"/>
                <w:sz w:val="19"/>
              </w:rPr>
              <w:t>Prepared by</w:t>
            </w:r>
          </w:p>
        </w:tc>
        <w:tc>
          <w:tcPr>
            <w:tcW w:type="dxa" w:w="6912"/>
            <w:shd w:val="clear" w:fill="F9FAFB"/>
          </w:tcPr>
          <w:p>
            <w:pPr>
              <w:spacing w:after="40" w:before="40"/>
            </w:pPr>
            <w:r/>
            <w:r>
              <w:rPr>
                <w:rFonts w:ascii="Calibri" w:hAnsi="Calibri"/>
                <w:b w:val="0"/>
                <w:color w:val="344054"/>
                <w:sz w:val="19"/>
              </w:rPr>
              <w:t>TandSol</w:t>
            </w:r>
          </w:p>
        </w:tc>
      </w:tr>
      <w:tr>
        <w:tc>
          <w:tcPr>
            <w:tcW w:type="dxa" w:w="2592"/>
          </w:tcPr>
          <w:p>
            <w:pPr>
              <w:spacing w:after="40" w:before="40"/>
            </w:pPr>
            <w:r/>
            <w:r>
              <w:rPr>
                <w:rFonts w:ascii="Calibri" w:hAnsi="Calibri"/>
                <w:b w:val="0"/>
                <w:color w:val="344054"/>
                <w:sz w:val="19"/>
              </w:rPr>
              <w:t>Status</w:t>
            </w:r>
          </w:p>
        </w:tc>
        <w:tc>
          <w:tcPr>
            <w:tcW w:type="dxa" w:w="6912"/>
          </w:tcPr>
          <w:p>
            <w:pPr>
              <w:spacing w:after="40" w:before="40"/>
            </w:pPr>
            <w:r/>
            <w:r>
              <w:rPr>
                <w:rFonts w:ascii="Calibri" w:hAnsi="Calibri"/>
                <w:b w:val="0"/>
                <w:color w:val="344054"/>
                <w:sz w:val="19"/>
              </w:rPr>
              <w:t>Baselined</w:t>
            </w:r>
          </w:p>
        </w:tc>
      </w:tr>
      <w:tr>
        <w:tc>
          <w:tcPr>
            <w:tcW w:type="dxa" w:w="2592"/>
            <w:shd w:val="clear" w:fill="F9FAFB"/>
          </w:tcPr>
          <w:p>
            <w:pPr>
              <w:spacing w:after="40" w:before="40"/>
            </w:pPr>
            <w:r/>
            <w:r>
              <w:rPr>
                <w:rFonts w:ascii="Calibri" w:hAnsi="Calibri"/>
                <w:b w:val="0"/>
                <w:color w:val="344054"/>
                <w:sz w:val="19"/>
              </w:rPr>
              <w:t>Related documents</w:t>
            </w:r>
          </w:p>
        </w:tc>
        <w:tc>
          <w:tcPr>
            <w:tcW w:type="dxa" w:w="6912"/>
            <w:shd w:val="clear" w:fill="F9FAFB"/>
          </w:tcPr>
          <w:p>
            <w:pPr>
              <w:spacing w:after="40" w:before="40"/>
            </w:pPr>
            <w:r/>
            <w:r>
              <w:rPr>
                <w:rFonts w:ascii="Calibri" w:hAnsi="Calibri"/>
                <w:b w:val="0"/>
                <w:color w:val="344054"/>
                <w:sz w:val="19"/>
              </w:rPr>
              <w:t>AVSAR-HBK-001, AVSAR-CHR-002, AVSAR-PMP-003, AVSAR-RTM-004, AVSAR-SDD-005, AVSAR-CDR-006, AVSAR-RSK-007, AVSAR-TML-008, AVSAR-DPD-009, AVSAR-QAB-011</w:t>
            </w:r>
          </w:p>
        </w:tc>
      </w:tr>
      <w:tr>
        <w:tc>
          <w:tcPr>
            <w:tcW w:type="dxa" w:w="2592"/>
          </w:tcPr>
          <w:p>
            <w:pPr>
              <w:spacing w:after="40" w:before="40"/>
            </w:pPr>
            <w:r/>
            <w:r>
              <w:rPr>
                <w:rFonts w:ascii="Calibri" w:hAnsi="Calibri"/>
                <w:b w:val="0"/>
                <w:color w:val="344054"/>
                <w:sz w:val="19"/>
              </w:rPr>
              <w:t>Classification</w:t>
            </w:r>
          </w:p>
        </w:tc>
        <w:tc>
          <w:tcPr>
            <w:tcW w:type="dxa" w:w="6912"/>
          </w:tcPr>
          <w:p>
            <w:pPr>
              <w:spacing w:after="40" w:before="40"/>
            </w:pPr>
            <w:r/>
            <w:r>
              <w:rPr>
                <w:rFonts w:ascii="Calibri" w:hAnsi="Calibri"/>
                <w:b w:val="0"/>
                <w:color w:val="344054"/>
                <w:sz w:val="19"/>
              </w:rPr>
              <w:t>Internal - Smart India Hackathon submission</w:t>
            </w:r>
          </w:p>
        </w:tc>
      </w:tr>
    </w:tbl>
    <w:p>
      <w:pPr>
        <w:spacing w:after="80"/>
      </w:pPr>
    </w:p>
    <w:p>
      <w:pPr>
        <w:pStyle w:val="Heading2"/>
      </w:pPr>
      <w:r>
        <w:t>Purpose of this document</w:t>
      </w:r>
    </w:p>
    <w:p>
      <w:r>
        <w:t>This policy states, for every category of data the platform holds, how long it is retained, what triggers the retention period, the legal basis for keeping it, and how erasure is carried out. It exists because the Digital Personal Data Protection Act 2023 requires personal data to be erased once the purpose is no longer served, while procurement law requires award records to be kept - and those two obligations have to be reconciled explicitly rather than left to judgement.</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152"/>
            <w:shd w:val="clear" w:fill="0B2447"/>
          </w:tcPr>
          <w:p>
            <w:pPr>
              <w:spacing w:after="40" w:before="40"/>
            </w:pPr>
            <w:r/>
            <w:r>
              <w:rPr>
                <w:rFonts w:ascii="Calibri" w:hAnsi="Calibri"/>
                <w:b/>
                <w:color w:val="FFFFFF"/>
                <w:sz w:val="19"/>
              </w:rPr>
              <w:t>Version</w:t>
            </w:r>
          </w:p>
        </w:tc>
        <w:tc>
          <w:tcPr>
            <w:tcW w:type="dxa" w:w="1584"/>
            <w:shd w:val="clear" w:fill="0B2447"/>
          </w:tcPr>
          <w:p>
            <w:pPr>
              <w:spacing w:after="40" w:before="40"/>
            </w:pPr>
            <w:r/>
            <w:r>
              <w:rPr>
                <w:rFonts w:ascii="Calibri" w:hAnsi="Calibri"/>
                <w:b/>
                <w:color w:val="FFFFFF"/>
                <w:sz w:val="19"/>
              </w:rPr>
              <w:t>Date</w:t>
            </w:r>
          </w:p>
        </w:tc>
        <w:tc>
          <w:tcPr>
            <w:tcW w:type="dxa" w:w="1584"/>
            <w:shd w:val="clear" w:fill="0B2447"/>
          </w:tcPr>
          <w:p>
            <w:pPr>
              <w:spacing w:after="40" w:before="40"/>
            </w:pPr>
            <w:r/>
            <w:r>
              <w:rPr>
                <w:rFonts w:ascii="Calibri" w:hAnsi="Calibri"/>
                <w:b/>
                <w:color w:val="FFFFFF"/>
                <w:sz w:val="19"/>
              </w:rPr>
              <w:t>Author</w:t>
            </w:r>
          </w:p>
        </w:tc>
        <w:tc>
          <w:tcPr>
            <w:tcW w:type="dxa" w:w="5184"/>
            <w:shd w:val="clear" w:fill="0B2447"/>
          </w:tcPr>
          <w:p>
            <w:pPr>
              <w:spacing w:after="40" w:before="40"/>
            </w:pPr>
            <w:r/>
            <w:r>
              <w:rPr>
                <w:rFonts w:ascii="Calibri" w:hAnsi="Calibri"/>
                <w:b/>
                <w:color w:val="FFFFFF"/>
                <w:sz w:val="19"/>
              </w:rPr>
              <w:t>Change</w:t>
            </w:r>
          </w:p>
        </w:tc>
      </w:tr>
      <w:tr>
        <w:tc>
          <w:tcPr>
            <w:tcW w:type="dxa" w:w="1152"/>
          </w:tcPr>
          <w:p>
            <w:pPr>
              <w:spacing w:after="40" w:before="40"/>
            </w:pPr>
            <w:r/>
            <w:r>
              <w:rPr>
                <w:rFonts w:ascii="Calibri" w:hAnsi="Calibri"/>
                <w:b w:val="0"/>
                <w:color w:val="344054"/>
                <w:sz w:val="19"/>
              </w:rPr>
              <w:t>1.0</w:t>
            </w:r>
          </w:p>
        </w:tc>
        <w:tc>
          <w:tcPr>
            <w:tcW w:type="dxa" w:w="1584"/>
          </w:tcPr>
          <w:p>
            <w:pPr>
              <w:spacing w:after="40" w:before="40"/>
            </w:pPr>
            <w:r/>
            <w:r>
              <w:rPr>
                <w:rFonts w:ascii="Calibri" w:hAnsi="Calibri"/>
                <w:b w:val="0"/>
                <w:color w:val="344054"/>
                <w:sz w:val="19"/>
              </w:rPr>
              <w:t>03 Sep 2026</w:t>
            </w:r>
          </w:p>
        </w:tc>
        <w:tc>
          <w:tcPr>
            <w:tcW w:type="dxa" w:w="1584"/>
          </w:tcPr>
          <w:p>
            <w:pPr>
              <w:spacing w:after="40" w:before="40"/>
            </w:pPr>
            <w:r/>
            <w:r>
              <w:rPr>
                <w:rFonts w:ascii="Calibri" w:hAnsi="Calibri"/>
                <w:b w:val="0"/>
                <w:color w:val="344054"/>
                <w:sz w:val="19"/>
              </w:rPr>
              <w:t>TandSol</w:t>
            </w:r>
          </w:p>
        </w:tc>
        <w:tc>
          <w:tcPr>
            <w:tcW w:type="dxa" w:w="5184"/>
          </w:tcPr>
          <w:p>
            <w:pPr>
              <w:spacing w:after="40" w:before="40"/>
            </w:pPr>
            <w:r/>
            <w:r>
              <w:rPr>
                <w:rFonts w:ascii="Calibri" w:hAnsi="Calibri"/>
                <w:b w:val="0"/>
                <w:color w:val="344054"/>
                <w:sz w:val="19"/>
              </w:rPr>
              <w:t>Baseline. Fourteen data categories classified; erasure process, known gaps and review cycle recorded.</w:t>
            </w:r>
          </w:p>
        </w:tc>
      </w:tr>
    </w:tbl>
    <w:p>
      <w:pPr>
        <w:spacing w:after="80"/>
      </w:pPr>
    </w:p>
    <w:p>
      <w:pPr>
        <w:pStyle w:val="Heading2"/>
      </w:pPr>
      <w:r>
        <w:t>Approval</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880"/>
            <w:shd w:val="clear" w:fill="0B2447"/>
          </w:tcPr>
          <w:p>
            <w:pPr>
              <w:spacing w:after="40" w:before="40"/>
            </w:pPr>
            <w:r/>
            <w:r>
              <w:rPr>
                <w:rFonts w:ascii="Calibri" w:hAnsi="Calibri"/>
                <w:b/>
                <w:color w:val="FFFFFF"/>
                <w:sz w:val="19"/>
              </w:rPr>
              <w:t>Role</w:t>
            </w:r>
          </w:p>
        </w:tc>
        <w:tc>
          <w:tcPr>
            <w:tcW w:type="dxa" w:w="2592"/>
            <w:shd w:val="clear" w:fill="0B2447"/>
          </w:tcPr>
          <w:p>
            <w:pPr>
              <w:spacing w:after="40" w:before="40"/>
            </w:pPr>
            <w:r/>
            <w:r>
              <w:rPr>
                <w:rFonts w:ascii="Calibri" w:hAnsi="Calibri"/>
                <w:b/>
                <w:color w:val="FFFFFF"/>
                <w:sz w:val="19"/>
              </w:rPr>
              <w:t>Name</w:t>
            </w:r>
          </w:p>
        </w:tc>
        <w:tc>
          <w:tcPr>
            <w:tcW w:type="dxa" w:w="2160"/>
            <w:shd w:val="clear" w:fill="0B2447"/>
          </w:tcPr>
          <w:p>
            <w:pPr>
              <w:spacing w:after="40" w:before="40"/>
            </w:pPr>
            <w:r/>
            <w:r>
              <w:rPr>
                <w:rFonts w:ascii="Calibri" w:hAnsi="Calibri"/>
                <w:b/>
                <w:color w:val="FFFFFF"/>
                <w:sz w:val="19"/>
              </w:rPr>
              <w:t>Signature</w:t>
            </w:r>
          </w:p>
        </w:tc>
        <w:tc>
          <w:tcPr>
            <w:tcW w:type="dxa" w:w="1584"/>
            <w:shd w:val="clear" w:fill="0B2447"/>
          </w:tcPr>
          <w:p>
            <w:pPr>
              <w:spacing w:after="40" w:before="40"/>
            </w:pPr>
            <w:r/>
            <w:r>
              <w:rPr>
                <w:rFonts w:ascii="Calibri" w:hAnsi="Calibri"/>
                <w:b/>
                <w:color w:val="FFFFFF"/>
                <w:sz w:val="19"/>
              </w:rPr>
              <w:t>Date</w:t>
            </w:r>
          </w:p>
        </w:tc>
      </w:tr>
      <w:tr>
        <w:tc>
          <w:tcPr>
            <w:tcW w:type="dxa" w:w="2880"/>
          </w:tcPr>
          <w:p>
            <w:pPr>
              <w:spacing w:after="40" w:before="40"/>
            </w:pPr>
            <w:r/>
            <w:r>
              <w:rPr>
                <w:rFonts w:ascii="Calibri" w:hAnsi="Calibri"/>
                <w:b w:val="0"/>
                <w:color w:val="344054"/>
                <w:sz w:val="19"/>
              </w:rPr>
              <w:t>Data Fiduciary (Department Head)</w:t>
            </w:r>
          </w:p>
        </w:tc>
        <w:tc>
          <w:tcPr>
            <w:tcW w:type="dxa" w:w="2592"/>
          </w:tcPr>
          <w:p>
            <w:pPr>
              <w:spacing w:after="40" w:before="40"/>
            </w:pPr>
            <w:r/>
            <w:r>
              <w:rPr>
                <w:rFonts w:ascii="Calibri" w:hAnsi="Calibri"/>
                <w:b w:val="0"/>
                <w:color w:val="344054"/>
                <w:sz w:val="19"/>
              </w:rPr>
            </w:r>
          </w:p>
        </w:tc>
        <w:tc>
          <w:tcPr>
            <w:tcW w:type="dxa" w:w="2160"/>
          </w:tcPr>
          <w:p>
            <w:pPr>
              <w:spacing w:after="40" w:before="40"/>
            </w:pPr>
            <w:r/>
            <w:r>
              <w:rPr>
                <w:rFonts w:ascii="Calibri" w:hAnsi="Calibri"/>
                <w:b w:val="0"/>
                <w:color w:val="344054"/>
                <w:sz w:val="19"/>
              </w:rPr>
            </w:r>
          </w:p>
        </w:tc>
        <w:tc>
          <w:tcPr>
            <w:tcW w:type="dxa" w:w="1584"/>
          </w:tcPr>
          <w:p>
            <w:pPr>
              <w:spacing w:after="40" w:before="40"/>
            </w:pPr>
            <w:r/>
            <w:r>
              <w:rPr>
                <w:rFonts w:ascii="Calibri" w:hAnsi="Calibri"/>
                <w:b w:val="0"/>
                <w:color w:val="344054"/>
                <w:sz w:val="19"/>
              </w:rPr>
            </w:r>
          </w:p>
        </w:tc>
      </w:tr>
      <w:tr>
        <w:tc>
          <w:tcPr>
            <w:tcW w:type="dxa" w:w="2880"/>
            <w:shd w:val="clear" w:fill="F9FAFB"/>
          </w:tcPr>
          <w:p>
            <w:pPr>
              <w:spacing w:after="40" w:before="40"/>
            </w:pPr>
            <w:r/>
            <w:r>
              <w:rPr>
                <w:rFonts w:ascii="Calibri" w:hAnsi="Calibri"/>
                <w:b w:val="0"/>
                <w:color w:val="344054"/>
                <w:sz w:val="19"/>
              </w:rPr>
              <w:t>Platform Administrator</w:t>
            </w:r>
          </w:p>
        </w:tc>
        <w:tc>
          <w:tcPr>
            <w:tcW w:type="dxa" w:w="2592"/>
            <w:shd w:val="clear" w:fill="F9FAFB"/>
          </w:tcPr>
          <w:p>
            <w:pPr>
              <w:spacing w:after="40" w:before="40"/>
            </w:pPr>
            <w:r/>
            <w:r>
              <w:rPr>
                <w:rFonts w:ascii="Calibri" w:hAnsi="Calibri"/>
                <w:b w:val="0"/>
                <w:color w:val="344054"/>
                <w:sz w:val="19"/>
              </w:rPr>
              <w:t>Scientist-E, NIC</w:t>
            </w:r>
          </w:p>
        </w:tc>
        <w:tc>
          <w:tcPr>
            <w:tcW w:type="dxa" w:w="2160"/>
            <w:shd w:val="clear" w:fill="F9FAFB"/>
          </w:tcPr>
          <w:p>
            <w:pPr>
              <w:spacing w:after="40" w:before="40"/>
            </w:pPr>
            <w:r/>
            <w:r>
              <w:rPr>
                <w:rFonts w:ascii="Calibri" w:hAnsi="Calibri"/>
                <w:b w:val="0"/>
                <w:color w:val="344054"/>
                <w:sz w:val="19"/>
              </w:rPr>
            </w:r>
          </w:p>
        </w:tc>
        <w:tc>
          <w:tcPr>
            <w:tcW w:type="dxa" w:w="1584"/>
            <w:shd w:val="clear" w:fill="F9FAFB"/>
          </w:tcPr>
          <w:p>
            <w:pPr>
              <w:spacing w:after="40" w:before="40"/>
            </w:pPr>
            <w:r/>
            <w:r>
              <w:rPr>
                <w:rFonts w:ascii="Calibri" w:hAnsi="Calibri"/>
                <w:b w:val="0"/>
                <w:color w:val="344054"/>
                <w:sz w:val="19"/>
              </w:rPr>
            </w:r>
          </w:p>
        </w:tc>
      </w:tr>
    </w:tbl>
    <w:p>
      <w:pPr>
        <w:spacing w:after="80"/>
      </w:pPr>
    </w:p>
    <w:p>
      <w:r>
        <w:br w:type="page"/>
      </w:r>
    </w:p>
    <w:p>
      <w:pPr>
        <w:pStyle w:val="Heading1"/>
      </w:pPr>
      <w:r>
        <w:t>1. Scope and principles</w:t>
      </w:r>
    </w:p>
    <w:p>
      <w:r>
        <w:t>This policy applies to every record created by or stored in the AVSAR platform, whether or not it constitutes personal data. Four principles govern it.</w:t>
      </w:r>
    </w:p>
    <w:p>
      <w:pPr>
        <w:pStyle w:val="ListBullet"/>
        <w:spacing w:after="60"/>
      </w:pPr>
      <w:r>
        <w:rPr>
          <w:b/>
        </w:rPr>
        <w:t xml:space="preserve">Purpose limitation. </w:t>
      </w:r>
      <w:r>
        <w:t>Data is retained only while it serves the purpose for which it was collected: participation in, or oversight of, a public procurement process.</w:t>
      </w:r>
    </w:p>
    <w:p>
      <w:pPr>
        <w:pStyle w:val="ListBullet"/>
        <w:spacing w:after="60"/>
      </w:pPr>
      <w:r>
        <w:rPr>
          <w:b/>
        </w:rPr>
        <w:t xml:space="preserve">Statutory override. </w:t>
      </w:r>
      <w:r>
        <w:t>Where procurement, audit or cyber-security law requires a record to be kept, that obligation prevails over an erasure request. The categories where this applies are named in section 3 rather than asserted generally.</w:t>
      </w:r>
    </w:p>
    <w:p>
      <w:pPr>
        <w:pStyle w:val="ListBullet"/>
        <w:spacing w:after="60"/>
      </w:pPr>
      <w:r>
        <w:rPr>
          <w:b/>
        </w:rPr>
        <w:t xml:space="preserve">Minimisation on disclosure. </w:t>
      </w:r>
      <w:r>
        <w:t>A record may be retained in full for audit while being disclosed only in part. Financial and identity fields are withheld from callers who do not need them, independently of how long the record is kept.</w:t>
      </w:r>
    </w:p>
    <w:p>
      <w:pPr>
        <w:pStyle w:val="ListBullet"/>
        <w:spacing w:after="60"/>
      </w:pPr>
      <w:r>
        <w:rPr>
          <w:b/>
        </w:rPr>
        <w:t xml:space="preserve">Erasure means erasure. </w:t>
      </w:r>
      <w:r>
        <w:t>Where a category is erased, the personal data is removed or irreversibly de-identified, not merely hidden from an interface.</w:t>
      </w:r>
    </w:p>
    <w:p>
      <w:pPr>
        <w:pStyle w:val="Heading1"/>
      </w:pPr>
      <w:r>
        <w:t>2. Roles</w:t>
      </w:r>
    </w:p>
    <w:tbl>
      <w:tblPr>
        <w:tblStyle w:val="TableGrid"/>
        <w:tblW w:type="auto" w:w="0"/>
        <w:jc w:val="center"/>
        <w:tblLayout w:type="autofit"/>
        <w:tblLook w:firstColumn="1" w:firstRow="1" w:lastColumn="0" w:lastRow="0" w:noHBand="0" w:noVBand="1" w:val="04A0"/>
      </w:tblPr>
      <w:tblGrid>
        <w:gridCol w:w="4680"/>
        <w:gridCol w:w="4680"/>
      </w:tblGrid>
      <w:tr>
        <w:tc>
          <w:tcPr>
            <w:tcW w:type="dxa" w:w="3168"/>
            <w:shd w:val="clear" w:fill="0B2447"/>
          </w:tcPr>
          <w:p>
            <w:pPr>
              <w:spacing w:after="40" w:before="40"/>
            </w:pPr>
            <w:r/>
            <w:r>
              <w:rPr>
                <w:rFonts w:ascii="Calibri" w:hAnsi="Calibri"/>
                <w:b/>
                <w:color w:val="FFFFFF"/>
                <w:sz w:val="19"/>
              </w:rPr>
              <w:t>Role</w:t>
            </w:r>
          </w:p>
        </w:tc>
        <w:tc>
          <w:tcPr>
            <w:tcW w:type="dxa" w:w="6480"/>
            <w:shd w:val="clear" w:fill="0B2447"/>
          </w:tcPr>
          <w:p>
            <w:pPr>
              <w:spacing w:after="40" w:before="40"/>
            </w:pPr>
            <w:r/>
            <w:r>
              <w:rPr>
                <w:rFonts w:ascii="Calibri" w:hAnsi="Calibri"/>
                <w:b/>
                <w:color w:val="FFFFFF"/>
                <w:sz w:val="19"/>
              </w:rPr>
              <w:t>Responsibility under this policy</w:t>
            </w:r>
          </w:p>
        </w:tc>
      </w:tr>
      <w:tr>
        <w:tc>
          <w:tcPr>
            <w:tcW w:type="dxa" w:w="3168"/>
          </w:tcPr>
          <w:p>
            <w:pPr>
              <w:spacing w:after="40" w:before="40"/>
            </w:pPr>
            <w:r/>
            <w:r>
              <w:rPr>
                <w:rFonts w:ascii="Calibri" w:hAnsi="Calibri"/>
                <w:b w:val="0"/>
                <w:color w:val="344054"/>
                <w:sz w:val="19"/>
              </w:rPr>
              <w:t>Data Fiduciary - the procuring department</w:t>
            </w:r>
          </w:p>
        </w:tc>
        <w:tc>
          <w:tcPr>
            <w:tcW w:type="dxa" w:w="6480"/>
          </w:tcPr>
          <w:p>
            <w:pPr>
              <w:spacing w:after="40" w:before="40"/>
            </w:pPr>
            <w:r/>
            <w:r>
              <w:rPr>
                <w:rFonts w:ascii="Calibri" w:hAnsi="Calibri"/>
                <w:b w:val="0"/>
                <w:color w:val="344054"/>
                <w:sz w:val="19"/>
              </w:rPr>
              <w:t>Accountable for lawful processing of all data relating to its own problem statements, applications, pilots and contracts, including processing carried out on its behalf by a startup during a pilot.</w:t>
            </w:r>
          </w:p>
        </w:tc>
      </w:tr>
      <w:tr>
        <w:tc>
          <w:tcPr>
            <w:tcW w:type="dxa" w:w="3168"/>
            <w:shd w:val="clear" w:fill="F9FAFB"/>
          </w:tcPr>
          <w:p>
            <w:pPr>
              <w:spacing w:after="40" w:before="40"/>
            </w:pPr>
            <w:r/>
            <w:r>
              <w:rPr>
                <w:rFonts w:ascii="Calibri" w:hAnsi="Calibri"/>
                <w:b w:val="0"/>
                <w:color w:val="344054"/>
                <w:sz w:val="19"/>
              </w:rPr>
              <w:t>Data Processor - a startup during a pilot</w:t>
            </w:r>
          </w:p>
        </w:tc>
        <w:tc>
          <w:tcPr>
            <w:tcW w:type="dxa" w:w="6480"/>
            <w:shd w:val="clear" w:fill="F9FAFB"/>
          </w:tcPr>
          <w:p>
            <w:pPr>
              <w:spacing w:after="40" w:before="40"/>
            </w:pPr>
            <w:r/>
            <w:r>
              <w:rPr>
                <w:rFonts w:ascii="Calibri" w:hAnsi="Calibri"/>
                <w:b w:val="0"/>
                <w:color w:val="344054"/>
                <w:sz w:val="19"/>
              </w:rPr>
              <w:t>Processes personal data only within the scope of the executed data processing agreement, for the pilot duration, and erases it on closure unless a specific written extension is recorded.</w:t>
            </w:r>
          </w:p>
        </w:tc>
      </w:tr>
      <w:tr>
        <w:tc>
          <w:tcPr>
            <w:tcW w:type="dxa" w:w="3168"/>
          </w:tcPr>
          <w:p>
            <w:pPr>
              <w:spacing w:after="40" w:before="40"/>
            </w:pPr>
            <w:r/>
            <w:r>
              <w:rPr>
                <w:rFonts w:ascii="Calibri" w:hAnsi="Calibri"/>
                <w:b w:val="0"/>
                <w:color w:val="344054"/>
                <w:sz w:val="19"/>
              </w:rPr>
              <w:t>Platform Administrator</w:t>
            </w:r>
          </w:p>
        </w:tc>
        <w:tc>
          <w:tcPr>
            <w:tcW w:type="dxa" w:w="6480"/>
          </w:tcPr>
          <w:p>
            <w:pPr>
              <w:spacing w:after="40" w:before="40"/>
            </w:pPr>
            <w:r/>
            <w:r>
              <w:rPr>
                <w:rFonts w:ascii="Calibri" w:hAnsi="Calibri"/>
                <w:b w:val="0"/>
                <w:color w:val="344054"/>
                <w:sz w:val="19"/>
              </w:rPr>
              <w:t>Operates the retention schedule, executes erasure, maintains the audit trail and its integrity, and reports on this policy at each review.</w:t>
            </w:r>
          </w:p>
        </w:tc>
      </w:tr>
      <w:tr>
        <w:tc>
          <w:tcPr>
            <w:tcW w:type="dxa" w:w="3168"/>
            <w:shd w:val="clear" w:fill="F9FAFB"/>
          </w:tcPr>
          <w:p>
            <w:pPr>
              <w:spacing w:after="40" w:before="40"/>
            </w:pPr>
            <w:r/>
            <w:r>
              <w:rPr>
                <w:rFonts w:ascii="Calibri" w:hAnsi="Calibri"/>
                <w:b w:val="0"/>
                <w:color w:val="344054"/>
                <w:sz w:val="19"/>
              </w:rPr>
              <w:t>Data Principal - a startup founder or official</w:t>
            </w:r>
          </w:p>
        </w:tc>
        <w:tc>
          <w:tcPr>
            <w:tcW w:type="dxa" w:w="6480"/>
            <w:shd w:val="clear" w:fill="F9FAFB"/>
          </w:tcPr>
          <w:p>
            <w:pPr>
              <w:spacing w:after="40" w:before="40"/>
            </w:pPr>
            <w:r/>
            <w:r>
              <w:rPr>
                <w:rFonts w:ascii="Calibri" w:hAnsi="Calibri"/>
                <w:b w:val="0"/>
                <w:color w:val="344054"/>
                <w:sz w:val="19"/>
              </w:rPr>
              <w:t>May exercise access, correction and erasure rights subject to the statutory overrides in section 3.</w:t>
            </w:r>
          </w:p>
        </w:tc>
      </w:tr>
    </w:tbl>
    <w:p>
      <w:pPr>
        <w:spacing w:after="80"/>
      </w:pPr>
    </w:p>
    <w:p>
      <w:pPr>
        <w:pStyle w:val="Heading1"/>
      </w:pPr>
      <w:r>
        <w:t>3. Retention schedule</w:t>
      </w:r>
    </w:p>
    <w:p>
      <w:r>
        <w:t>Fourteen categories. The trigger column states the event from which the period runs, because a period with no stated trigger cannot be operated.</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1944"/>
            <w:shd w:val="clear" w:fill="0B2447"/>
          </w:tcPr>
          <w:p>
            <w:pPr>
              <w:spacing w:after="40" w:before="40"/>
            </w:pPr>
            <w:r/>
            <w:r>
              <w:rPr>
                <w:rFonts w:ascii="Calibri" w:hAnsi="Calibri"/>
                <w:b/>
                <w:color w:val="FFFFFF"/>
                <w:sz w:val="17"/>
              </w:rPr>
              <w:t>Category</w:t>
            </w:r>
          </w:p>
        </w:tc>
        <w:tc>
          <w:tcPr>
            <w:tcW w:type="dxa" w:w="2664"/>
            <w:shd w:val="clear" w:fill="0B2447"/>
          </w:tcPr>
          <w:p>
            <w:pPr>
              <w:spacing w:after="40" w:before="40"/>
            </w:pPr>
            <w:r/>
            <w:r>
              <w:rPr>
                <w:rFonts w:ascii="Calibri" w:hAnsi="Calibri"/>
                <w:b/>
                <w:color w:val="FFFFFF"/>
                <w:sz w:val="17"/>
              </w:rPr>
              <w:t>Examples</w:t>
            </w:r>
          </w:p>
        </w:tc>
        <w:tc>
          <w:tcPr>
            <w:tcW w:type="dxa" w:w="3096"/>
            <w:shd w:val="clear" w:fill="0B2447"/>
          </w:tcPr>
          <w:p>
            <w:pPr>
              <w:spacing w:after="40" w:before="40"/>
            </w:pPr>
            <w:r/>
            <w:r>
              <w:rPr>
                <w:rFonts w:ascii="Calibri" w:hAnsi="Calibri"/>
                <w:b/>
                <w:color w:val="FFFFFF"/>
                <w:sz w:val="17"/>
              </w:rPr>
              <w:t>Trigger and period</w:t>
            </w:r>
          </w:p>
        </w:tc>
        <w:tc>
          <w:tcPr>
            <w:tcW w:type="dxa" w:w="1944"/>
            <w:shd w:val="clear" w:fill="0B2447"/>
          </w:tcPr>
          <w:p>
            <w:pPr>
              <w:spacing w:after="40" w:before="40"/>
            </w:pPr>
            <w:r/>
            <w:r>
              <w:rPr>
                <w:rFonts w:ascii="Calibri" w:hAnsi="Calibri"/>
                <w:b/>
                <w:color w:val="FFFFFF"/>
                <w:sz w:val="17"/>
              </w:rPr>
              <w:t>Legal basis</w:t>
            </w:r>
          </w:p>
        </w:tc>
      </w:tr>
      <w:tr>
        <w:tc>
          <w:tcPr>
            <w:tcW w:type="dxa" w:w="1944"/>
          </w:tcPr>
          <w:p>
            <w:pPr>
              <w:spacing w:after="40" w:before="40"/>
            </w:pPr>
            <w:r/>
            <w:r>
              <w:rPr>
                <w:rFonts w:ascii="Calibri" w:hAnsi="Calibri"/>
                <w:b w:val="0"/>
                <w:color w:val="344054"/>
                <w:sz w:val="17"/>
              </w:rPr>
              <w:t>Startup identity and recognition</w:t>
            </w:r>
          </w:p>
        </w:tc>
        <w:tc>
          <w:tcPr>
            <w:tcW w:type="dxa" w:w="2664"/>
          </w:tcPr>
          <w:p>
            <w:pPr>
              <w:spacing w:after="40" w:before="40"/>
            </w:pPr>
            <w:r/>
            <w:r>
              <w:rPr>
                <w:rFonts w:ascii="Calibri" w:hAnsi="Calibri"/>
                <w:b w:val="0"/>
                <w:color w:val="344054"/>
                <w:sz w:val="17"/>
              </w:rPr>
              <w:t>Legal name, entity type, CIN, GSTIN, Udyam number, DPIIT recognition number and validity, incorporation date</w:t>
            </w:r>
          </w:p>
        </w:tc>
        <w:tc>
          <w:tcPr>
            <w:tcW w:type="dxa" w:w="3096"/>
          </w:tcPr>
          <w:p>
            <w:pPr>
              <w:spacing w:after="40" w:before="40"/>
            </w:pPr>
            <w:r/>
            <w:r>
              <w:rPr>
                <w:rFonts w:ascii="Calibri" w:hAnsi="Calibri"/>
                <w:b w:val="0"/>
                <w:color w:val="344054"/>
                <w:sz w:val="17"/>
              </w:rPr>
              <w:t>From account closure or last activity: 8 years. Retained in full while any contract or unsettled payment subsists.</w:t>
            </w:r>
          </w:p>
        </w:tc>
        <w:tc>
          <w:tcPr>
            <w:tcW w:type="dxa" w:w="1944"/>
          </w:tcPr>
          <w:p>
            <w:pPr>
              <w:spacing w:after="40" w:before="40"/>
            </w:pPr>
            <w:r/>
            <w:r>
              <w:rPr>
                <w:rFonts w:ascii="Calibri" w:hAnsi="Calibri"/>
                <w:b w:val="0"/>
                <w:color w:val="344054"/>
                <w:sz w:val="17"/>
              </w:rPr>
              <w:t>GFR 2017 record-keeping for procurement participation; Companies Act record alignment</w:t>
            </w:r>
          </w:p>
        </w:tc>
      </w:tr>
      <w:tr>
        <w:tc>
          <w:tcPr>
            <w:tcW w:type="dxa" w:w="1944"/>
            <w:shd w:val="clear" w:fill="F9FAFB"/>
          </w:tcPr>
          <w:p>
            <w:pPr>
              <w:spacing w:after="40" w:before="40"/>
            </w:pPr>
            <w:r/>
            <w:r>
              <w:rPr>
                <w:rFonts w:ascii="Calibri" w:hAnsi="Calibri"/>
                <w:b w:val="0"/>
                <w:color w:val="344054"/>
                <w:sz w:val="17"/>
              </w:rPr>
              <w:t>Startup financial declarations</w:t>
            </w:r>
          </w:p>
        </w:tc>
        <w:tc>
          <w:tcPr>
            <w:tcW w:type="dxa" w:w="2664"/>
            <w:shd w:val="clear" w:fill="F9FAFB"/>
          </w:tcPr>
          <w:p>
            <w:pPr>
              <w:spacing w:after="40" w:before="40"/>
            </w:pPr>
            <w:r/>
            <w:r>
              <w:rPr>
                <w:rFonts w:ascii="Calibri" w:hAnsi="Calibri"/>
                <w:b w:val="0"/>
                <w:color w:val="344054"/>
                <w:sz w:val="17"/>
              </w:rPr>
              <w:t>Turnover for the last financial year, employee count</w:t>
            </w:r>
          </w:p>
        </w:tc>
        <w:tc>
          <w:tcPr>
            <w:tcW w:type="dxa" w:w="3096"/>
            <w:shd w:val="clear" w:fill="F9FAFB"/>
          </w:tcPr>
          <w:p>
            <w:pPr>
              <w:spacing w:after="40" w:before="40"/>
            </w:pPr>
            <w:r/>
            <w:r>
              <w:rPr>
                <w:rFonts w:ascii="Calibri" w:hAnsi="Calibri"/>
                <w:b w:val="0"/>
                <w:color w:val="344054"/>
                <w:sz w:val="17"/>
              </w:rPr>
              <w:t>From account closure: 8 years, aligned to the eligibility record it supports.</w:t>
            </w:r>
          </w:p>
        </w:tc>
        <w:tc>
          <w:tcPr>
            <w:tcW w:type="dxa" w:w="1944"/>
            <w:shd w:val="clear" w:fill="F9FAFB"/>
          </w:tcPr>
          <w:p>
            <w:pPr>
              <w:spacing w:after="40" w:before="40"/>
            </w:pPr>
            <w:r/>
            <w:r>
              <w:rPr>
                <w:rFonts w:ascii="Calibri" w:hAnsi="Calibri"/>
                <w:b w:val="0"/>
                <w:color w:val="344054"/>
                <w:sz w:val="17"/>
              </w:rPr>
              <w:t>Evidence of the basis on which eligibility was decided</w:t>
            </w:r>
          </w:p>
        </w:tc>
      </w:tr>
      <w:tr>
        <w:tc>
          <w:tcPr>
            <w:tcW w:type="dxa" w:w="1944"/>
          </w:tcPr>
          <w:p>
            <w:pPr>
              <w:spacing w:after="40" w:before="40"/>
            </w:pPr>
            <w:r/>
            <w:r>
              <w:rPr>
                <w:rFonts w:ascii="Calibri" w:hAnsi="Calibri"/>
                <w:b w:val="0"/>
                <w:color w:val="344054"/>
                <w:sz w:val="17"/>
              </w:rPr>
              <w:t>Contact and account data</w:t>
            </w:r>
          </w:p>
        </w:tc>
        <w:tc>
          <w:tcPr>
            <w:tcW w:type="dxa" w:w="2664"/>
          </w:tcPr>
          <w:p>
            <w:pPr>
              <w:spacing w:after="40" w:before="40"/>
            </w:pPr>
            <w:r/>
            <w:r>
              <w:rPr>
                <w:rFonts w:ascii="Calibri" w:hAnsi="Calibri"/>
                <w:b w:val="0"/>
                <w:color w:val="344054"/>
                <w:sz w:val="17"/>
              </w:rPr>
              <w:t>Founder name, email address, telephone number, password hash, last sign-in</w:t>
            </w:r>
          </w:p>
        </w:tc>
        <w:tc>
          <w:tcPr>
            <w:tcW w:type="dxa" w:w="3096"/>
          </w:tcPr>
          <w:p>
            <w:pPr>
              <w:spacing w:after="40" w:before="40"/>
            </w:pPr>
            <w:r/>
            <w:r>
              <w:rPr>
                <w:rFonts w:ascii="Calibri" w:hAnsi="Calibri"/>
                <w:b w:val="0"/>
                <w:color w:val="344054"/>
                <w:sz w:val="17"/>
              </w:rPr>
              <w:t>From account closure: 90 days, then erased. Password hash erased immediately on closure.</w:t>
            </w:r>
          </w:p>
        </w:tc>
        <w:tc>
          <w:tcPr>
            <w:tcW w:type="dxa" w:w="1944"/>
          </w:tcPr>
          <w:p>
            <w:pPr>
              <w:spacing w:after="40" w:before="40"/>
            </w:pPr>
            <w:r/>
            <w:r>
              <w:rPr>
                <w:rFonts w:ascii="Calibri" w:hAnsi="Calibri"/>
                <w:b w:val="0"/>
                <w:color w:val="344054"/>
                <w:sz w:val="17"/>
              </w:rPr>
              <w:t>DPDP Act 2023 s.8(7) - purpose no longer served</w:t>
            </w:r>
          </w:p>
        </w:tc>
      </w:tr>
      <w:tr>
        <w:tc>
          <w:tcPr>
            <w:tcW w:type="dxa" w:w="1944"/>
            <w:shd w:val="clear" w:fill="F9FAFB"/>
          </w:tcPr>
          <w:p>
            <w:pPr>
              <w:spacing w:after="40" w:before="40"/>
            </w:pPr>
            <w:r/>
            <w:r>
              <w:rPr>
                <w:rFonts w:ascii="Calibri" w:hAnsi="Calibri"/>
                <w:b w:val="0"/>
                <w:color w:val="344054"/>
                <w:sz w:val="17"/>
              </w:rPr>
              <w:t>Eligibility gate verdicts</w:t>
            </w:r>
          </w:p>
        </w:tc>
        <w:tc>
          <w:tcPr>
            <w:tcW w:type="dxa" w:w="2664"/>
            <w:shd w:val="clear" w:fill="F9FAFB"/>
          </w:tcPr>
          <w:p>
            <w:pPr>
              <w:spacing w:after="40" w:before="40"/>
            </w:pPr>
            <w:r/>
            <w:r>
              <w:rPr>
                <w:rFonts w:ascii="Calibri" w:hAnsi="Calibri"/>
                <w:b w:val="0"/>
                <w:color w:val="344054"/>
                <w:sz w:val="17"/>
              </w:rPr>
              <w:t>The itemised verdict frozen onto an application, including each check, its authority and its result</w:t>
            </w:r>
          </w:p>
        </w:tc>
        <w:tc>
          <w:tcPr>
            <w:tcW w:type="dxa" w:w="3096"/>
            <w:shd w:val="clear" w:fill="F9FAFB"/>
          </w:tcPr>
          <w:p>
            <w:pPr>
              <w:spacing w:after="40" w:before="40"/>
            </w:pPr>
            <w:r/>
            <w:r>
              <w:rPr>
                <w:rFonts w:ascii="Calibri" w:hAnsi="Calibri"/>
                <w:b w:val="0"/>
                <w:color w:val="344054"/>
                <w:sz w:val="17"/>
              </w:rPr>
              <w:t>From the decision: 8 years. Not erasable while the related application or contract record subsists.</w:t>
            </w:r>
          </w:p>
        </w:tc>
        <w:tc>
          <w:tcPr>
            <w:tcW w:type="dxa" w:w="1944"/>
            <w:shd w:val="clear" w:fill="F9FAFB"/>
          </w:tcPr>
          <w:p>
            <w:pPr>
              <w:spacing w:after="40" w:before="40"/>
            </w:pPr>
            <w:r/>
            <w:r>
              <w:rPr>
                <w:rFonts w:ascii="Calibri" w:hAnsi="Calibri"/>
                <w:b w:val="0"/>
                <w:color w:val="344054"/>
                <w:sz w:val="17"/>
              </w:rPr>
              <w:t>Evidence supporting a procurement decision; audit defensibility</w:t>
            </w:r>
          </w:p>
        </w:tc>
      </w:tr>
      <w:tr>
        <w:tc>
          <w:tcPr>
            <w:tcW w:type="dxa" w:w="1944"/>
          </w:tcPr>
          <w:p>
            <w:pPr>
              <w:spacing w:after="40" w:before="40"/>
            </w:pPr>
            <w:r/>
            <w:r>
              <w:rPr>
                <w:rFonts w:ascii="Calibri" w:hAnsi="Calibri"/>
                <w:b w:val="0"/>
                <w:color w:val="344054"/>
                <w:sz w:val="17"/>
              </w:rPr>
              <w:t>Problem statements</w:t>
            </w:r>
          </w:p>
        </w:tc>
        <w:tc>
          <w:tcPr>
            <w:tcW w:type="dxa" w:w="2664"/>
          </w:tcPr>
          <w:p>
            <w:pPr>
              <w:spacing w:after="40" w:before="40"/>
            </w:pPr>
            <w:r/>
            <w:r>
              <w:rPr>
                <w:rFonts w:ascii="Calibri" w:hAnsi="Calibri"/>
                <w:b w:val="0"/>
                <w:color w:val="344054"/>
                <w:sz w:val="17"/>
              </w:rPr>
              <w:t>Problem text, baseline, KPIs, budget ceiling, terms, approval and publication record</w:t>
            </w:r>
          </w:p>
        </w:tc>
        <w:tc>
          <w:tcPr>
            <w:tcW w:type="dxa" w:w="3096"/>
          </w:tcPr>
          <w:p>
            <w:pPr>
              <w:spacing w:after="40" w:before="40"/>
            </w:pPr>
            <w:r/>
            <w:r>
              <w:rPr>
                <w:rFonts w:ascii="Calibri" w:hAnsi="Calibri"/>
                <w:b w:val="0"/>
                <w:color w:val="344054"/>
                <w:sz w:val="17"/>
              </w:rPr>
              <w:t>Permanent. Published problem statements are a public record of what the State sought to buy.</w:t>
            </w:r>
          </w:p>
        </w:tc>
        <w:tc>
          <w:tcPr>
            <w:tcW w:type="dxa" w:w="1944"/>
          </w:tcPr>
          <w:p>
            <w:pPr>
              <w:spacing w:after="40" w:before="40"/>
            </w:pPr>
            <w:r/>
            <w:r>
              <w:rPr>
                <w:rFonts w:ascii="Calibri" w:hAnsi="Calibri"/>
                <w:b w:val="0"/>
                <w:color w:val="344054"/>
                <w:sz w:val="17"/>
              </w:rPr>
              <w:t>GFR 2017; transparency obligation</w:t>
            </w:r>
          </w:p>
        </w:tc>
      </w:tr>
      <w:tr>
        <w:tc>
          <w:tcPr>
            <w:tcW w:type="dxa" w:w="1944"/>
            <w:shd w:val="clear" w:fill="F9FAFB"/>
          </w:tcPr>
          <w:p>
            <w:pPr>
              <w:spacing w:after="40" w:before="40"/>
            </w:pPr>
            <w:r/>
            <w:r>
              <w:rPr>
                <w:rFonts w:ascii="Calibri" w:hAnsi="Calibri"/>
                <w:b w:val="0"/>
                <w:color w:val="344054"/>
                <w:sz w:val="17"/>
              </w:rPr>
              <w:t>Applications</w:t>
            </w:r>
          </w:p>
        </w:tc>
        <w:tc>
          <w:tcPr>
            <w:tcW w:type="dxa" w:w="2664"/>
            <w:shd w:val="clear" w:fill="F9FAFB"/>
          </w:tcPr>
          <w:p>
            <w:pPr>
              <w:spacing w:after="40" w:before="40"/>
            </w:pPr>
            <w:r/>
            <w:r>
              <w:rPr>
                <w:rFonts w:ascii="Calibri" w:hAnsi="Calibri"/>
                <w:b w:val="0"/>
                <w:color w:val="344054"/>
                <w:sz w:val="17"/>
              </w:rPr>
              <w:t>Solution description, approach, quoted cost, timeline, declared risks, attachments</w:t>
            </w:r>
          </w:p>
        </w:tc>
        <w:tc>
          <w:tcPr>
            <w:tcW w:type="dxa" w:w="3096"/>
            <w:shd w:val="clear" w:fill="F9FAFB"/>
          </w:tcPr>
          <w:p>
            <w:pPr>
              <w:spacing w:after="40" w:before="40"/>
            </w:pPr>
            <w:r/>
            <w:r>
              <w:rPr>
                <w:rFonts w:ascii="Calibri" w:hAnsi="Calibri"/>
                <w:b w:val="0"/>
                <w:color w:val="344054"/>
                <w:sz w:val="17"/>
              </w:rPr>
              <w:t>From the final decision on the application: 8 years. An unsuccessful application is retained for the same period as a successful one.</w:t>
            </w:r>
          </w:p>
        </w:tc>
        <w:tc>
          <w:tcPr>
            <w:tcW w:type="dxa" w:w="1944"/>
            <w:shd w:val="clear" w:fill="F9FAFB"/>
          </w:tcPr>
          <w:p>
            <w:pPr>
              <w:spacing w:after="40" w:before="40"/>
            </w:pPr>
            <w:r/>
            <w:r>
              <w:rPr>
                <w:rFonts w:ascii="Calibri" w:hAnsi="Calibri"/>
                <w:b w:val="0"/>
                <w:color w:val="344054"/>
                <w:sz w:val="17"/>
              </w:rPr>
              <w:t>GFR 2017; defence of a challenge to the process</w:t>
            </w:r>
          </w:p>
        </w:tc>
      </w:tr>
      <w:tr>
        <w:tc>
          <w:tcPr>
            <w:tcW w:type="dxa" w:w="1944"/>
          </w:tcPr>
          <w:p>
            <w:pPr>
              <w:spacing w:after="40" w:before="40"/>
            </w:pPr>
            <w:r/>
            <w:r>
              <w:rPr>
                <w:rFonts w:ascii="Calibri" w:hAnsi="Calibri"/>
                <w:b w:val="0"/>
                <w:color w:val="344054"/>
                <w:sz w:val="17"/>
              </w:rPr>
              <w:t>Evaluation scores and remarks</w:t>
            </w:r>
          </w:p>
        </w:tc>
        <w:tc>
          <w:tcPr>
            <w:tcW w:type="dxa" w:w="2664"/>
          </w:tcPr>
          <w:p>
            <w:pPr>
              <w:spacing w:after="40" w:before="40"/>
            </w:pPr>
            <w:r/>
            <w:r>
              <w:rPr>
                <w:rFonts w:ascii="Calibri" w:hAnsi="Calibri"/>
                <w:b w:val="0"/>
                <w:color w:val="344054"/>
                <w:sz w:val="17"/>
              </w:rPr>
              <w:t>Per-criterion scores, weighted totals, written justification, recommendation, conflict-of-interest declaration</w:t>
            </w:r>
          </w:p>
        </w:tc>
        <w:tc>
          <w:tcPr>
            <w:tcW w:type="dxa" w:w="3096"/>
          </w:tcPr>
          <w:p>
            <w:pPr>
              <w:spacing w:after="40" w:before="40"/>
            </w:pPr>
            <w:r/>
            <w:r>
              <w:rPr>
                <w:rFonts w:ascii="Calibri" w:hAnsi="Calibri"/>
                <w:b w:val="0"/>
                <w:color w:val="344054"/>
                <w:sz w:val="17"/>
              </w:rPr>
              <w:t>From the shortlist decision: 8 years. Never erased on request while the related award subsists.</w:t>
            </w:r>
          </w:p>
        </w:tc>
        <w:tc>
          <w:tcPr>
            <w:tcW w:type="dxa" w:w="1944"/>
          </w:tcPr>
          <w:p>
            <w:pPr>
              <w:spacing w:after="40" w:before="40"/>
            </w:pPr>
            <w:r/>
            <w:r>
              <w:rPr>
                <w:rFonts w:ascii="Calibri" w:hAnsi="Calibri"/>
                <w:b w:val="0"/>
                <w:color w:val="344054"/>
                <w:sz w:val="17"/>
              </w:rPr>
              <w:t>Audit of the basis of an award; CAG examination</w:t>
            </w:r>
          </w:p>
        </w:tc>
      </w:tr>
      <w:tr>
        <w:tc>
          <w:tcPr>
            <w:tcW w:type="dxa" w:w="1944"/>
            <w:shd w:val="clear" w:fill="F9FAFB"/>
          </w:tcPr>
          <w:p>
            <w:pPr>
              <w:spacing w:after="40" w:before="40"/>
            </w:pPr>
            <w:r/>
            <w:r>
              <w:rPr>
                <w:rFonts w:ascii="Calibri" w:hAnsi="Calibri"/>
                <w:b w:val="0"/>
                <w:color w:val="344054"/>
                <w:sz w:val="17"/>
              </w:rPr>
              <w:t>Pilot records</w:t>
            </w:r>
          </w:p>
        </w:tc>
        <w:tc>
          <w:tcPr>
            <w:tcW w:type="dxa" w:w="2664"/>
            <w:shd w:val="clear" w:fill="F9FAFB"/>
          </w:tcPr>
          <w:p>
            <w:pPr>
              <w:spacing w:after="40" w:before="40"/>
            </w:pPr>
            <w:r/>
            <w:r>
              <w:rPr>
                <w:rFonts w:ascii="Calibri" w:hAnsi="Calibri"/>
                <w:b w:val="0"/>
                <w:color w:val="344054"/>
                <w:sz w:val="17"/>
              </w:rPr>
              <w:t>Sanction order, scope, milestones, evidence notes, acceptance decisions, KPI readings, closure verdict</w:t>
            </w:r>
          </w:p>
        </w:tc>
        <w:tc>
          <w:tcPr>
            <w:tcW w:type="dxa" w:w="3096"/>
            <w:shd w:val="clear" w:fill="F9FAFB"/>
          </w:tcPr>
          <w:p>
            <w:pPr>
              <w:spacing w:after="40" w:before="40"/>
            </w:pPr>
            <w:r/>
            <w:r>
              <w:rPr>
                <w:rFonts w:ascii="Calibri" w:hAnsi="Calibri"/>
                <w:b w:val="0"/>
                <w:color w:val="344054"/>
                <w:sz w:val="17"/>
              </w:rPr>
              <w:t>From pilot closure: 8 years.</w:t>
            </w:r>
          </w:p>
        </w:tc>
        <w:tc>
          <w:tcPr>
            <w:tcW w:type="dxa" w:w="1944"/>
            <w:shd w:val="clear" w:fill="F9FAFB"/>
          </w:tcPr>
          <w:p>
            <w:pPr>
              <w:spacing w:after="40" w:before="40"/>
            </w:pPr>
            <w:r/>
            <w:r>
              <w:rPr>
                <w:rFonts w:ascii="Calibri" w:hAnsi="Calibri"/>
                <w:b w:val="0"/>
                <w:color w:val="344054"/>
                <w:sz w:val="17"/>
              </w:rPr>
              <w:t>GFR 2017; evidence supporting a subsequent procurement</w:t>
            </w:r>
          </w:p>
        </w:tc>
      </w:tr>
      <w:tr>
        <w:tc>
          <w:tcPr>
            <w:tcW w:type="dxa" w:w="1944"/>
          </w:tcPr>
          <w:p>
            <w:pPr>
              <w:spacing w:after="40" w:before="40"/>
            </w:pPr>
            <w:r/>
            <w:r>
              <w:rPr>
                <w:rFonts w:ascii="Calibri" w:hAnsi="Calibri"/>
                <w:b w:val="0"/>
                <w:color w:val="344054"/>
                <w:sz w:val="17"/>
              </w:rPr>
              <w:t>Personal data processed during a pilot</w:t>
            </w:r>
          </w:p>
        </w:tc>
        <w:tc>
          <w:tcPr>
            <w:tcW w:type="dxa" w:w="2664"/>
          </w:tcPr>
          <w:p>
            <w:pPr>
              <w:spacing w:after="40" w:before="40"/>
            </w:pPr>
            <w:r/>
            <w:r>
              <w:rPr>
                <w:rFonts w:ascii="Calibri" w:hAnsi="Calibri"/>
                <w:b w:val="0"/>
                <w:color w:val="344054"/>
                <w:sz w:val="17"/>
              </w:rPr>
              <w:t>Any citizen or beneficiary data the startup accesses in the live environment under the pilot</w:t>
            </w:r>
          </w:p>
        </w:tc>
        <w:tc>
          <w:tcPr>
            <w:tcW w:type="dxa" w:w="3096"/>
          </w:tcPr>
          <w:p>
            <w:pPr>
              <w:spacing w:after="40" w:before="40"/>
            </w:pPr>
            <w:r/>
            <w:r>
              <w:rPr>
                <w:rFonts w:ascii="Calibri" w:hAnsi="Calibri"/>
                <w:b w:val="0"/>
                <w:color w:val="344054"/>
                <w:sz w:val="17"/>
              </w:rPr>
              <w:t>Erased by the processor at pilot closure. No retention beyond the pilot window without fresh, recorded consent and a written extension to the data processing agreement.</w:t>
            </w:r>
          </w:p>
        </w:tc>
        <w:tc>
          <w:tcPr>
            <w:tcW w:type="dxa" w:w="1944"/>
          </w:tcPr>
          <w:p>
            <w:pPr>
              <w:spacing w:after="40" w:before="40"/>
            </w:pPr>
            <w:r/>
            <w:r>
              <w:rPr>
                <w:rFonts w:ascii="Calibri" w:hAnsi="Calibri"/>
                <w:b w:val="0"/>
                <w:color w:val="344054"/>
                <w:sz w:val="17"/>
              </w:rPr>
              <w:t>DPDP Act 2023 s.8(2) and s.8(7); the pilot data processing agreement</w:t>
            </w:r>
          </w:p>
        </w:tc>
      </w:tr>
      <w:tr>
        <w:tc>
          <w:tcPr>
            <w:tcW w:type="dxa" w:w="1944"/>
            <w:shd w:val="clear" w:fill="F9FAFB"/>
          </w:tcPr>
          <w:p>
            <w:pPr>
              <w:spacing w:after="40" w:before="40"/>
            </w:pPr>
            <w:r/>
            <w:r>
              <w:rPr>
                <w:rFonts w:ascii="Calibri" w:hAnsi="Calibri"/>
                <w:b w:val="0"/>
                <w:color w:val="344054"/>
                <w:sz w:val="17"/>
              </w:rPr>
              <w:t>Procurement and contract records</w:t>
            </w:r>
          </w:p>
        </w:tc>
        <w:tc>
          <w:tcPr>
            <w:tcW w:type="dxa" w:w="2664"/>
            <w:shd w:val="clear" w:fill="F9FAFB"/>
          </w:tcPr>
          <w:p>
            <w:pPr>
              <w:spacing w:after="40" w:before="40"/>
            </w:pPr>
            <w:r/>
            <w:r>
              <w:rPr>
                <w:rFonts w:ascii="Calibri" w:hAnsi="Calibri"/>
                <w:b w:val="0"/>
                <w:color w:val="344054"/>
                <w:sz w:val="17"/>
              </w:rPr>
              <w:t>Mode, GFR provision relied on, written justification, contract value and term, purchase order number, GeM contract identifier</w:t>
            </w:r>
          </w:p>
        </w:tc>
        <w:tc>
          <w:tcPr>
            <w:tcW w:type="dxa" w:w="3096"/>
            <w:shd w:val="clear" w:fill="F9FAFB"/>
          </w:tcPr>
          <w:p>
            <w:pPr>
              <w:spacing w:after="40" w:before="40"/>
            </w:pPr>
            <w:r/>
            <w:r>
              <w:rPr>
                <w:rFonts w:ascii="Calibri" w:hAnsi="Calibri"/>
                <w:b w:val="0"/>
                <w:color w:val="344054"/>
                <w:sz w:val="17"/>
              </w:rPr>
              <w:t>From contract expiry or termination: 8 years.</w:t>
            </w:r>
          </w:p>
        </w:tc>
        <w:tc>
          <w:tcPr>
            <w:tcW w:type="dxa" w:w="1944"/>
            <w:shd w:val="clear" w:fill="F9FAFB"/>
          </w:tcPr>
          <w:p>
            <w:pPr>
              <w:spacing w:after="40" w:before="40"/>
            </w:pPr>
            <w:r/>
            <w:r>
              <w:rPr>
                <w:rFonts w:ascii="Calibri" w:hAnsi="Calibri"/>
                <w:b w:val="0"/>
                <w:color w:val="344054"/>
                <w:sz w:val="17"/>
              </w:rPr>
              <w:t>GFR 2017; CAG audit</w:t>
            </w:r>
          </w:p>
        </w:tc>
      </w:tr>
      <w:tr>
        <w:tc>
          <w:tcPr>
            <w:tcW w:type="dxa" w:w="1944"/>
          </w:tcPr>
          <w:p>
            <w:pPr>
              <w:spacing w:after="40" w:before="40"/>
            </w:pPr>
            <w:r/>
            <w:r>
              <w:rPr>
                <w:rFonts w:ascii="Calibri" w:hAnsi="Calibri"/>
                <w:b w:val="0"/>
                <w:color w:val="344054"/>
                <w:sz w:val="17"/>
              </w:rPr>
              <w:t>Payment records</w:t>
            </w:r>
          </w:p>
        </w:tc>
        <w:tc>
          <w:tcPr>
            <w:tcW w:type="dxa" w:w="2664"/>
          </w:tcPr>
          <w:p>
            <w:pPr>
              <w:spacing w:after="40" w:before="40"/>
            </w:pPr>
            <w:r/>
            <w:r>
              <w:rPr>
                <w:rFonts w:ascii="Calibri" w:hAnsi="Calibri"/>
                <w:b w:val="0"/>
                <w:color w:val="344054"/>
                <w:sz w:val="17"/>
              </w:rPr>
              <w:t>Invoice number, amount, due date, settlement date, PFMS reference</w:t>
            </w:r>
          </w:p>
        </w:tc>
        <w:tc>
          <w:tcPr>
            <w:tcW w:type="dxa" w:w="3096"/>
          </w:tcPr>
          <w:p>
            <w:pPr>
              <w:spacing w:after="40" w:before="40"/>
            </w:pPr>
            <w:r/>
            <w:r>
              <w:rPr>
                <w:rFonts w:ascii="Calibri" w:hAnsi="Calibri"/>
                <w:b w:val="0"/>
                <w:color w:val="344054"/>
                <w:sz w:val="17"/>
              </w:rPr>
              <w:t>From settlement: 8 years.</w:t>
            </w:r>
          </w:p>
        </w:tc>
        <w:tc>
          <w:tcPr>
            <w:tcW w:type="dxa" w:w="1944"/>
          </w:tcPr>
          <w:p>
            <w:pPr>
              <w:spacing w:after="40" w:before="40"/>
            </w:pPr>
            <w:r/>
            <w:r>
              <w:rPr>
                <w:rFonts w:ascii="Calibri" w:hAnsi="Calibri"/>
                <w:b w:val="0"/>
                <w:color w:val="344054"/>
                <w:sz w:val="17"/>
              </w:rPr>
              <w:t>GFR 2017; MSMED Act 2006 s.15 interest computation</w:t>
            </w:r>
          </w:p>
        </w:tc>
      </w:tr>
      <w:tr>
        <w:tc>
          <w:tcPr>
            <w:tcW w:type="dxa" w:w="1944"/>
            <w:shd w:val="clear" w:fill="F9FAFB"/>
          </w:tcPr>
          <w:p>
            <w:pPr>
              <w:spacing w:after="40" w:before="40"/>
            </w:pPr>
            <w:r/>
            <w:r>
              <w:rPr>
                <w:rFonts w:ascii="Calibri" w:hAnsi="Calibri"/>
                <w:b w:val="0"/>
                <w:color w:val="344054"/>
                <w:sz w:val="17"/>
              </w:rPr>
              <w:t>Catalogue listings and adoptions</w:t>
            </w:r>
          </w:p>
        </w:tc>
        <w:tc>
          <w:tcPr>
            <w:tcW w:type="dxa" w:w="2664"/>
            <w:shd w:val="clear" w:fill="F9FAFB"/>
          </w:tcPr>
          <w:p>
            <w:pPr>
              <w:spacing w:after="40" w:before="40"/>
            </w:pPr>
            <w:r/>
            <w:r>
              <w:rPr>
                <w:rFonts w:ascii="Calibri" w:hAnsi="Calibri"/>
                <w:b w:val="0"/>
                <w:color w:val="344054"/>
                <w:sz w:val="17"/>
              </w:rPr>
              <w:t>Solution description, unit price, proven KPIs, rate contract validity, drawing department and quantity</w:t>
            </w:r>
          </w:p>
        </w:tc>
        <w:tc>
          <w:tcPr>
            <w:tcW w:type="dxa" w:w="3096"/>
            <w:shd w:val="clear" w:fill="F9FAFB"/>
          </w:tcPr>
          <w:p>
            <w:pPr>
              <w:spacing w:after="40" w:before="40"/>
            </w:pPr>
            <w:r/>
            <w:r>
              <w:rPr>
                <w:rFonts w:ascii="Calibri" w:hAnsi="Calibri"/>
                <w:b w:val="0"/>
                <w:color w:val="344054"/>
                <w:sz w:val="17"/>
              </w:rPr>
              <w:t>From rate contract expiry: 8 years.</w:t>
            </w:r>
          </w:p>
        </w:tc>
        <w:tc>
          <w:tcPr>
            <w:tcW w:type="dxa" w:w="1944"/>
            <w:shd w:val="clear" w:fill="F9FAFB"/>
          </w:tcPr>
          <w:p>
            <w:pPr>
              <w:spacing w:after="40" w:before="40"/>
            </w:pPr>
            <w:r/>
            <w:r>
              <w:rPr>
                <w:rFonts w:ascii="Calibri" w:hAnsi="Calibri"/>
                <w:b w:val="0"/>
                <w:color w:val="344054"/>
                <w:sz w:val="17"/>
              </w:rPr>
              <w:t>GFR 2017 R.145; price discovery record</w:t>
            </w:r>
          </w:p>
        </w:tc>
      </w:tr>
      <w:tr>
        <w:tc>
          <w:tcPr>
            <w:tcW w:type="dxa" w:w="1944"/>
          </w:tcPr>
          <w:p>
            <w:pPr>
              <w:spacing w:after="40" w:before="40"/>
            </w:pPr>
            <w:r/>
            <w:r>
              <w:rPr>
                <w:rFonts w:ascii="Calibri" w:hAnsi="Calibri"/>
                <w:b w:val="0"/>
                <w:color w:val="344054"/>
                <w:sz w:val="17"/>
              </w:rPr>
              <w:t>Grievances</w:t>
            </w:r>
          </w:p>
        </w:tc>
        <w:tc>
          <w:tcPr>
            <w:tcW w:type="dxa" w:w="2664"/>
          </w:tcPr>
          <w:p>
            <w:pPr>
              <w:spacing w:after="40" w:before="40"/>
            </w:pPr>
            <w:r/>
            <w:r>
              <w:rPr>
                <w:rFonts w:ascii="Calibri" w:hAnsi="Calibri"/>
                <w:b w:val="0"/>
                <w:color w:val="344054"/>
                <w:sz w:val="17"/>
              </w:rPr>
              <w:t>Category, description, resolution text, SLA dates</w:t>
            </w:r>
          </w:p>
        </w:tc>
        <w:tc>
          <w:tcPr>
            <w:tcW w:type="dxa" w:w="3096"/>
          </w:tcPr>
          <w:p>
            <w:pPr>
              <w:spacing w:after="40" w:before="40"/>
            </w:pPr>
            <w:r/>
            <w:r>
              <w:rPr>
                <w:rFonts w:ascii="Calibri" w:hAnsi="Calibri"/>
                <w:b w:val="0"/>
                <w:color w:val="344054"/>
                <w:sz w:val="17"/>
              </w:rPr>
              <w:t>From resolution: 5 years.</w:t>
            </w:r>
          </w:p>
        </w:tc>
        <w:tc>
          <w:tcPr>
            <w:tcW w:type="dxa" w:w="1944"/>
          </w:tcPr>
          <w:p>
            <w:pPr>
              <w:spacing w:after="40" w:before="40"/>
            </w:pPr>
            <w:r/>
            <w:r>
              <w:rPr>
                <w:rFonts w:ascii="Calibri" w:hAnsi="Calibri"/>
                <w:b w:val="0"/>
                <w:color w:val="344054"/>
                <w:sz w:val="17"/>
              </w:rPr>
              <w:t>Demonstrating an effective redressal mechanism under DPDP Act 2023 s.8(9)</w:t>
            </w:r>
          </w:p>
        </w:tc>
      </w:tr>
      <w:tr>
        <w:tc>
          <w:tcPr>
            <w:tcW w:type="dxa" w:w="1944"/>
            <w:shd w:val="clear" w:fill="F9FAFB"/>
          </w:tcPr>
          <w:p>
            <w:pPr>
              <w:spacing w:after="40" w:before="40"/>
            </w:pPr>
            <w:r/>
            <w:r>
              <w:rPr>
                <w:rFonts w:ascii="Calibri" w:hAnsi="Calibri"/>
                <w:b w:val="0"/>
                <w:color w:val="344054"/>
                <w:sz w:val="17"/>
              </w:rPr>
              <w:t>Audit and access logs</w:t>
            </w:r>
          </w:p>
        </w:tc>
        <w:tc>
          <w:tcPr>
            <w:tcW w:type="dxa" w:w="2664"/>
            <w:shd w:val="clear" w:fill="F9FAFB"/>
          </w:tcPr>
          <w:p>
            <w:pPr>
              <w:spacing w:after="40" w:before="40"/>
            </w:pPr>
            <w:r/>
            <w:r>
              <w:rPr>
                <w:rFonts w:ascii="Calibri" w:hAnsi="Calibri"/>
                <w:b w:val="0"/>
                <w:color w:val="344054"/>
                <w:sz w:val="17"/>
              </w:rPr>
              <w:t>Actor, role, action, entity, payload, hash chain, sign-in and failed sign-in events</w:t>
            </w:r>
          </w:p>
        </w:tc>
        <w:tc>
          <w:tcPr>
            <w:tcW w:type="dxa" w:w="3096"/>
            <w:shd w:val="clear" w:fill="F9FAFB"/>
          </w:tcPr>
          <w:p>
            <w:pPr>
              <w:spacing w:after="40" w:before="40"/>
            </w:pPr>
            <w:r/>
            <w:r>
              <w:rPr>
                <w:rFonts w:ascii="Calibri" w:hAnsi="Calibri"/>
                <w:b w:val="0"/>
                <w:color w:val="344054"/>
                <w:sz w:val="17"/>
              </w:rPr>
              <w:t>Minimum 180 days rolling, retained within Indian jurisdiction. Entries relating to an award are retained for 8 years with the award.</w:t>
            </w:r>
          </w:p>
        </w:tc>
        <w:tc>
          <w:tcPr>
            <w:tcW w:type="dxa" w:w="1944"/>
            <w:shd w:val="clear" w:fill="F9FAFB"/>
          </w:tcPr>
          <w:p>
            <w:pPr>
              <w:spacing w:after="40" w:before="40"/>
            </w:pPr>
            <w:r/>
            <w:r>
              <w:rPr>
                <w:rFonts w:ascii="Calibri" w:hAnsi="Calibri"/>
                <w:b w:val="0"/>
                <w:color w:val="344054"/>
                <w:sz w:val="17"/>
              </w:rPr>
              <w:t>CERT-In Directions 2022; CAG audit trail integrity</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fill="F2F4F7"/>
          </w:tcPr>
          <w:p>
            <w:r/>
            <w:r>
              <w:rPr>
                <w:b/>
                <w:color w:val="0B2447"/>
                <w:sz w:val="19"/>
              </w:rPr>
              <w:t xml:space="preserve">Why eight years:  </w:t>
            </w:r>
            <w:r>
              <w:rPr>
                <w:color w:val="344054"/>
                <w:sz w:val="19"/>
              </w:rPr>
              <w:t>Central government procurement records are conventionally retained for a period that outlasts the audit cycle for the transaction. Eight years from the terminal event is adopted here as a single consistent figure across procurement-related categories so that related records do not expire at different times and leave an incomplete file. A deploying department should align this with its own record-retention schedule and record any variation as a revision to this document.</w:t>
            </w:r>
          </w:p>
        </w:tc>
      </w:tr>
    </w:tbl>
    <w:p>
      <w:pPr>
        <w:spacing w:after="80"/>
      </w:pPr>
    </w:p>
    <w:p>
      <w:pPr>
        <w:pStyle w:val="Heading1"/>
      </w:pPr>
      <w:r>
        <w:t>4. Erasure process</w:t>
      </w:r>
    </w:p>
    <w:p>
      <w:pPr>
        <w:pStyle w:val="Heading2"/>
      </w:pPr>
      <w:r>
        <w:t>4.1 On a data principal's request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720"/>
            <w:shd w:val="clear" w:fill="0B2447"/>
          </w:tcPr>
          <w:p>
            <w:pPr>
              <w:spacing w:after="40" w:before="40"/>
            </w:pPr>
            <w:r/>
            <w:r>
              <w:rPr>
                <w:rFonts w:ascii="Calibri" w:hAnsi="Calibri"/>
                <w:b/>
                <w:color w:val="FFFFFF"/>
                <w:sz w:val="19"/>
              </w:rPr>
              <w:t>Step</w:t>
            </w:r>
          </w:p>
        </w:tc>
        <w:tc>
          <w:tcPr>
            <w:tcW w:type="dxa" w:w="4896"/>
            <w:shd w:val="clear" w:fill="0B2447"/>
          </w:tcPr>
          <w:p>
            <w:pPr>
              <w:spacing w:after="40" w:before="40"/>
            </w:pPr>
            <w:r/>
            <w:r>
              <w:rPr>
                <w:rFonts w:ascii="Calibri" w:hAnsi="Calibri"/>
                <w:b/>
                <w:color w:val="FFFFFF"/>
                <w:sz w:val="19"/>
              </w:rPr>
              <w:t>Action</w:t>
            </w:r>
          </w:p>
        </w:tc>
        <w:tc>
          <w:tcPr>
            <w:tcW w:type="dxa" w:w="2304"/>
            <w:shd w:val="clear" w:fill="0B2447"/>
          </w:tcPr>
          <w:p>
            <w:pPr>
              <w:spacing w:after="40" w:before="40"/>
            </w:pPr>
            <w:r/>
            <w:r>
              <w:rPr>
                <w:rFonts w:ascii="Calibri" w:hAnsi="Calibri"/>
                <w:b/>
                <w:color w:val="FFFFFF"/>
                <w:sz w:val="19"/>
              </w:rPr>
              <w:t>Owner</w:t>
            </w:r>
          </w:p>
        </w:tc>
        <w:tc>
          <w:tcPr>
            <w:tcW w:type="dxa" w:w="1728"/>
            <w:shd w:val="clear" w:fill="0B2447"/>
          </w:tcPr>
          <w:p>
            <w:pPr>
              <w:spacing w:after="40" w:before="40"/>
            </w:pPr>
            <w:r/>
            <w:r>
              <w:rPr>
                <w:rFonts w:ascii="Calibri" w:hAnsi="Calibri"/>
                <w:b/>
                <w:color w:val="FFFFFF"/>
                <w:sz w:val="19"/>
              </w:rPr>
              <w:t>Timeline</w:t>
            </w:r>
          </w:p>
        </w:tc>
      </w:tr>
      <w:tr>
        <w:tc>
          <w:tcPr>
            <w:tcW w:type="dxa" w:w="720"/>
          </w:tcPr>
          <w:p>
            <w:pPr>
              <w:spacing w:after="40" w:before="40"/>
            </w:pPr>
            <w:r/>
            <w:r>
              <w:rPr>
                <w:rFonts w:ascii="Calibri" w:hAnsi="Calibri"/>
                <w:b w:val="0"/>
                <w:color w:val="344054"/>
                <w:sz w:val="19"/>
              </w:rPr>
              <w:t>1</w:t>
            </w:r>
          </w:p>
        </w:tc>
        <w:tc>
          <w:tcPr>
            <w:tcW w:type="dxa" w:w="4896"/>
          </w:tcPr>
          <w:p>
            <w:pPr>
              <w:spacing w:after="40" w:before="40"/>
            </w:pPr>
            <w:r/>
            <w:r>
              <w:rPr>
                <w:rFonts w:ascii="Calibri" w:hAnsi="Calibri"/>
                <w:b w:val="0"/>
                <w:color w:val="344054"/>
                <w:sz w:val="19"/>
              </w:rPr>
              <w:t>Request received through the grievance module under the category Other, or in writing to the Data Protection Officer</w:t>
            </w:r>
          </w:p>
        </w:tc>
        <w:tc>
          <w:tcPr>
            <w:tcW w:type="dxa" w:w="2304"/>
          </w:tcPr>
          <w:p>
            <w:pPr>
              <w:spacing w:after="40" w:before="40"/>
            </w:pPr>
            <w:r/>
            <w:r>
              <w:rPr>
                <w:rFonts w:ascii="Calibri" w:hAnsi="Calibri"/>
                <w:b w:val="0"/>
                <w:color w:val="344054"/>
                <w:sz w:val="19"/>
              </w:rPr>
              <w:t>Data Principal</w:t>
            </w:r>
          </w:p>
        </w:tc>
        <w:tc>
          <w:tcPr>
            <w:tcW w:type="dxa" w:w="1728"/>
          </w:tcPr>
          <w:p>
            <w:pPr>
              <w:spacing w:after="40" w:before="40"/>
            </w:pPr>
            <w:r/>
            <w:r>
              <w:rPr>
                <w:rFonts w:ascii="Calibri" w:hAnsi="Calibri"/>
                <w:b w:val="0"/>
                <w:color w:val="344054"/>
                <w:sz w:val="19"/>
              </w:rPr>
              <w:t>-</w:t>
            </w:r>
          </w:p>
        </w:tc>
      </w:tr>
      <w:tr>
        <w:tc>
          <w:tcPr>
            <w:tcW w:type="dxa" w:w="720"/>
            <w:shd w:val="clear" w:fill="F9FAFB"/>
          </w:tcPr>
          <w:p>
            <w:pPr>
              <w:spacing w:after="40" w:before="40"/>
            </w:pPr>
            <w:r/>
            <w:r>
              <w:rPr>
                <w:rFonts w:ascii="Calibri" w:hAnsi="Calibri"/>
                <w:b w:val="0"/>
                <w:color w:val="344054"/>
                <w:sz w:val="19"/>
              </w:rPr>
              <w:t>2</w:t>
            </w:r>
          </w:p>
        </w:tc>
        <w:tc>
          <w:tcPr>
            <w:tcW w:type="dxa" w:w="4896"/>
            <w:shd w:val="clear" w:fill="F9FAFB"/>
          </w:tcPr>
          <w:p>
            <w:pPr>
              <w:spacing w:after="40" w:before="40"/>
            </w:pPr>
            <w:r/>
            <w:r>
              <w:rPr>
                <w:rFonts w:ascii="Calibri" w:hAnsi="Calibri"/>
                <w:b w:val="0"/>
                <w:color w:val="344054"/>
                <w:sz w:val="19"/>
              </w:rPr>
              <w:t>Identity of the requester verified against the account and the entity it represents</w:t>
            </w:r>
          </w:p>
        </w:tc>
        <w:tc>
          <w:tcPr>
            <w:tcW w:type="dxa" w:w="2304"/>
            <w:shd w:val="clear" w:fill="F9FAFB"/>
          </w:tcPr>
          <w:p>
            <w:pPr>
              <w:spacing w:after="40" w:before="40"/>
            </w:pPr>
            <w:r/>
            <w:r>
              <w:rPr>
                <w:rFonts w:ascii="Calibri" w:hAnsi="Calibri"/>
                <w:b w:val="0"/>
                <w:color w:val="344054"/>
                <w:sz w:val="19"/>
              </w:rPr>
              <w:t>Platform Administrator</w:t>
            </w:r>
          </w:p>
        </w:tc>
        <w:tc>
          <w:tcPr>
            <w:tcW w:type="dxa" w:w="1728"/>
            <w:shd w:val="clear" w:fill="F9FAFB"/>
          </w:tcPr>
          <w:p>
            <w:pPr>
              <w:spacing w:after="40" w:before="40"/>
            </w:pPr>
            <w:r/>
            <w:r>
              <w:rPr>
                <w:rFonts w:ascii="Calibri" w:hAnsi="Calibri"/>
                <w:b w:val="0"/>
                <w:color w:val="344054"/>
                <w:sz w:val="19"/>
              </w:rPr>
              <w:t>3 working days</w:t>
            </w:r>
          </w:p>
        </w:tc>
      </w:tr>
      <w:tr>
        <w:tc>
          <w:tcPr>
            <w:tcW w:type="dxa" w:w="720"/>
          </w:tcPr>
          <w:p>
            <w:pPr>
              <w:spacing w:after="40" w:before="40"/>
            </w:pPr>
            <w:r/>
            <w:r>
              <w:rPr>
                <w:rFonts w:ascii="Calibri" w:hAnsi="Calibri"/>
                <w:b w:val="0"/>
                <w:color w:val="344054"/>
                <w:sz w:val="19"/>
              </w:rPr>
              <w:t>3</w:t>
            </w:r>
          </w:p>
        </w:tc>
        <w:tc>
          <w:tcPr>
            <w:tcW w:type="dxa" w:w="4896"/>
          </w:tcPr>
          <w:p>
            <w:pPr>
              <w:spacing w:after="40" w:before="40"/>
            </w:pPr>
            <w:r/>
            <w:r>
              <w:rPr>
                <w:rFonts w:ascii="Calibri" w:hAnsi="Calibri"/>
                <w:b w:val="0"/>
                <w:color w:val="344054"/>
                <w:sz w:val="19"/>
              </w:rPr>
              <w:t>Category-by-category assessment against section 3, identifying which categories carry a statutory override</w:t>
            </w:r>
          </w:p>
        </w:tc>
        <w:tc>
          <w:tcPr>
            <w:tcW w:type="dxa" w:w="2304"/>
          </w:tcPr>
          <w:p>
            <w:pPr>
              <w:spacing w:after="40" w:before="40"/>
            </w:pPr>
            <w:r/>
            <w:r>
              <w:rPr>
                <w:rFonts w:ascii="Calibri" w:hAnsi="Calibri"/>
                <w:b w:val="0"/>
                <w:color w:val="344054"/>
                <w:sz w:val="19"/>
              </w:rPr>
              <w:t>Platform Administrator</w:t>
            </w:r>
          </w:p>
        </w:tc>
        <w:tc>
          <w:tcPr>
            <w:tcW w:type="dxa" w:w="1728"/>
          </w:tcPr>
          <w:p>
            <w:pPr>
              <w:spacing w:after="40" w:before="40"/>
            </w:pPr>
            <w:r/>
            <w:r>
              <w:rPr>
                <w:rFonts w:ascii="Calibri" w:hAnsi="Calibri"/>
                <w:b w:val="0"/>
                <w:color w:val="344054"/>
                <w:sz w:val="19"/>
              </w:rPr>
              <w:t>5 working days</w:t>
            </w:r>
          </w:p>
        </w:tc>
      </w:tr>
      <w:tr>
        <w:tc>
          <w:tcPr>
            <w:tcW w:type="dxa" w:w="720"/>
            <w:shd w:val="clear" w:fill="F9FAFB"/>
          </w:tcPr>
          <w:p>
            <w:pPr>
              <w:spacing w:after="40" w:before="40"/>
            </w:pPr>
            <w:r/>
            <w:r>
              <w:rPr>
                <w:rFonts w:ascii="Calibri" w:hAnsi="Calibri"/>
                <w:b w:val="0"/>
                <w:color w:val="344054"/>
                <w:sz w:val="19"/>
              </w:rPr>
              <w:t>4</w:t>
            </w:r>
          </w:p>
        </w:tc>
        <w:tc>
          <w:tcPr>
            <w:tcW w:type="dxa" w:w="4896"/>
            <w:shd w:val="clear" w:fill="F9FAFB"/>
          </w:tcPr>
          <w:p>
            <w:pPr>
              <w:spacing w:after="40" w:before="40"/>
            </w:pPr>
            <w:r/>
            <w:r>
              <w:rPr>
                <w:rFonts w:ascii="Calibri" w:hAnsi="Calibri"/>
                <w:b w:val="0"/>
                <w:color w:val="344054"/>
                <w:sz w:val="19"/>
              </w:rPr>
              <w:t>Erase every category not subject to an override; de-identify where a record must be retained but the personal element need not be</w:t>
            </w:r>
          </w:p>
        </w:tc>
        <w:tc>
          <w:tcPr>
            <w:tcW w:type="dxa" w:w="2304"/>
            <w:shd w:val="clear" w:fill="F9FAFB"/>
          </w:tcPr>
          <w:p>
            <w:pPr>
              <w:spacing w:after="40" w:before="40"/>
            </w:pPr>
            <w:r/>
            <w:r>
              <w:rPr>
                <w:rFonts w:ascii="Calibri" w:hAnsi="Calibri"/>
                <w:b w:val="0"/>
                <w:color w:val="344054"/>
                <w:sz w:val="19"/>
              </w:rPr>
              <w:t>Platform Administrator</w:t>
            </w:r>
          </w:p>
        </w:tc>
        <w:tc>
          <w:tcPr>
            <w:tcW w:type="dxa" w:w="1728"/>
            <w:shd w:val="clear" w:fill="F9FAFB"/>
          </w:tcPr>
          <w:p>
            <w:pPr>
              <w:spacing w:after="40" w:before="40"/>
            </w:pPr>
            <w:r/>
            <w:r>
              <w:rPr>
                <w:rFonts w:ascii="Calibri" w:hAnsi="Calibri"/>
                <w:b w:val="0"/>
                <w:color w:val="344054"/>
                <w:sz w:val="19"/>
              </w:rPr>
              <w:t>10 working days</w:t>
            </w:r>
          </w:p>
        </w:tc>
      </w:tr>
      <w:tr>
        <w:tc>
          <w:tcPr>
            <w:tcW w:type="dxa" w:w="720"/>
          </w:tcPr>
          <w:p>
            <w:pPr>
              <w:spacing w:after="40" w:before="40"/>
            </w:pPr>
            <w:r/>
            <w:r>
              <w:rPr>
                <w:rFonts w:ascii="Calibri" w:hAnsi="Calibri"/>
                <w:b w:val="0"/>
                <w:color w:val="344054"/>
                <w:sz w:val="19"/>
              </w:rPr>
              <w:t>5</w:t>
            </w:r>
          </w:p>
        </w:tc>
        <w:tc>
          <w:tcPr>
            <w:tcW w:type="dxa" w:w="4896"/>
          </w:tcPr>
          <w:p>
            <w:pPr>
              <w:spacing w:after="40" w:before="40"/>
            </w:pPr>
            <w:r/>
            <w:r>
              <w:rPr>
                <w:rFonts w:ascii="Calibri" w:hAnsi="Calibri"/>
                <w:b w:val="0"/>
                <w:color w:val="344054"/>
                <w:sz w:val="19"/>
              </w:rPr>
              <w:t>Written response to the requester listing what was erased, what was retained, and the legal basis for each retention</w:t>
            </w:r>
          </w:p>
        </w:tc>
        <w:tc>
          <w:tcPr>
            <w:tcW w:type="dxa" w:w="2304"/>
          </w:tcPr>
          <w:p>
            <w:pPr>
              <w:spacing w:after="40" w:before="40"/>
            </w:pPr>
            <w:r/>
            <w:r>
              <w:rPr>
                <w:rFonts w:ascii="Calibri" w:hAnsi="Calibri"/>
                <w:b w:val="0"/>
                <w:color w:val="344054"/>
                <w:sz w:val="19"/>
              </w:rPr>
              <w:t>Data Protection Officer</w:t>
            </w:r>
          </w:p>
        </w:tc>
        <w:tc>
          <w:tcPr>
            <w:tcW w:type="dxa" w:w="1728"/>
          </w:tcPr>
          <w:p>
            <w:pPr>
              <w:spacing w:after="40" w:before="40"/>
            </w:pPr>
            <w:r/>
            <w:r>
              <w:rPr>
                <w:rFonts w:ascii="Calibri" w:hAnsi="Calibri"/>
                <w:b w:val="0"/>
                <w:color w:val="344054"/>
                <w:sz w:val="19"/>
              </w:rPr>
              <w:t>15 working days</w:t>
            </w:r>
          </w:p>
        </w:tc>
      </w:tr>
      <w:tr>
        <w:tc>
          <w:tcPr>
            <w:tcW w:type="dxa" w:w="720"/>
            <w:shd w:val="clear" w:fill="F9FAFB"/>
          </w:tcPr>
          <w:p>
            <w:pPr>
              <w:spacing w:after="40" w:before="40"/>
            </w:pPr>
            <w:r/>
            <w:r>
              <w:rPr>
                <w:rFonts w:ascii="Calibri" w:hAnsi="Calibri"/>
                <w:b w:val="0"/>
                <w:color w:val="344054"/>
                <w:sz w:val="19"/>
              </w:rPr>
              <w:t>6</w:t>
            </w:r>
          </w:p>
        </w:tc>
        <w:tc>
          <w:tcPr>
            <w:tcW w:type="dxa" w:w="4896"/>
            <w:shd w:val="clear" w:fill="F9FAFB"/>
          </w:tcPr>
          <w:p>
            <w:pPr>
              <w:spacing w:after="40" w:before="40"/>
            </w:pPr>
            <w:r/>
            <w:r>
              <w:rPr>
                <w:rFonts w:ascii="Calibri" w:hAnsi="Calibri"/>
                <w:b w:val="0"/>
                <w:color w:val="344054"/>
                <w:sz w:val="19"/>
              </w:rPr>
              <w:t>The erasure action itself recorded on the audit trail - the fact of erasure, not the erased content</w:t>
            </w:r>
          </w:p>
        </w:tc>
        <w:tc>
          <w:tcPr>
            <w:tcW w:type="dxa" w:w="2304"/>
            <w:shd w:val="clear" w:fill="F9FAFB"/>
          </w:tcPr>
          <w:p>
            <w:pPr>
              <w:spacing w:after="40" w:before="40"/>
            </w:pPr>
            <w:r/>
            <w:r>
              <w:rPr>
                <w:rFonts w:ascii="Calibri" w:hAnsi="Calibri"/>
                <w:b w:val="0"/>
                <w:color w:val="344054"/>
                <w:sz w:val="19"/>
              </w:rPr>
              <w:t>Platform (automatic)</w:t>
            </w:r>
          </w:p>
        </w:tc>
        <w:tc>
          <w:tcPr>
            <w:tcW w:type="dxa" w:w="1728"/>
            <w:shd w:val="clear" w:fill="F9FAFB"/>
          </w:tcPr>
          <w:p>
            <w:pPr>
              <w:spacing w:after="40" w:before="40"/>
            </w:pPr>
            <w:r/>
            <w:r>
              <w:rPr>
                <w:rFonts w:ascii="Calibri" w:hAnsi="Calibri"/>
                <w:b w:val="0"/>
                <w:color w:val="344054"/>
                <w:sz w:val="19"/>
              </w:rPr>
              <w:t>Immediate</w:t>
            </w:r>
          </w:p>
        </w:tc>
      </w:tr>
    </w:tbl>
    <w:p>
      <w:pPr>
        <w:spacing w:after="80"/>
      </w:pPr>
    </w:p>
    <w:p>
      <w:pPr>
        <w:pStyle w:val="Heading2"/>
      </w:pPr>
      <w:r>
        <w:t>4.2 On expiry of a retention period</w:t>
      </w:r>
    </w:p>
    <w:p>
      <w:r>
        <w:t>A scheduled job identifies records past their retention period and erases or de-identifies them, writing a summary of the volume erased per category to the audit trail. The job is not implemented in the reference build; it is a deployment-phase item recorded in section 6.</w:t>
      </w:r>
    </w:p>
    <w:p>
      <w:pPr>
        <w:pStyle w:val="Heading2"/>
      </w:pPr>
      <w:r>
        <w:t>4.3 De-identification in place of erasure</w:t>
      </w:r>
    </w:p>
    <w:p>
      <w:r>
        <w:t>Where a record must be retained for audit but the personal element need not be, the personal fields are replaced rather than the row deleted. A closed evaluation, for example, retains its scores, its weighted total and its written justification - which is the audit evidence - while the evaluator's name is replaced with a stable non-reversible identifier once the retention period for contact data has expired. The scores remain examinable; the individual is no longer identifiable from them.</w:t>
      </w:r>
    </w:p>
    <w:p>
      <w:pPr>
        <w:pStyle w:val="Heading2"/>
      </w:pPr>
      <w:r>
        <w:t>4.4 Backups</w:t>
      </w:r>
    </w:p>
    <w:p>
      <w:r>
        <w:t>Backups are retained for 35 days on a rolling basis. An erasure request is satisfied against live data immediately and against backups by expiry of that window rather than by selective restoration, which is recorded in the response to the requester. Backup media is encrypted and India-resident.</w:t>
      </w:r>
    </w:p>
    <w:p>
      <w:pPr>
        <w:pStyle w:val="Heading1"/>
      </w:pPr>
      <w:r>
        <w:t>5. Data minimisation in disclosure</w:t>
      </w:r>
    </w:p>
    <w:p>
      <w:r>
        <w:t>Retention and disclosure are separate controls. A record retained in full for audit is not therefore visible to everyone who can reach the platform.</w:t>
      </w:r>
    </w:p>
    <w:tbl>
      <w:tblPr>
        <w:tblStyle w:val="TableGrid"/>
        <w:tblW w:type="auto" w:w="0"/>
        <w:jc w:val="center"/>
        <w:tblLayout w:type="autofit"/>
        <w:tblLook w:firstColumn="1" w:firstRow="1" w:lastColumn="0" w:lastRow="0" w:noHBand="0" w:noVBand="1" w:val="04A0"/>
      </w:tblPr>
      <w:tblGrid>
        <w:gridCol w:w="4680"/>
        <w:gridCol w:w="4680"/>
      </w:tblGrid>
      <w:tr>
        <w:tc>
          <w:tcPr>
            <w:tcW w:type="dxa" w:w="2592"/>
            <w:shd w:val="clear" w:fill="0B2447"/>
          </w:tcPr>
          <w:p>
            <w:pPr>
              <w:spacing w:after="40" w:before="40"/>
            </w:pPr>
            <w:r/>
            <w:r>
              <w:rPr>
                <w:rFonts w:ascii="Calibri" w:hAnsi="Calibri"/>
                <w:b/>
                <w:color w:val="FFFFFF"/>
                <w:sz w:val="19"/>
              </w:rPr>
              <w:t>Viewer</w:t>
            </w:r>
          </w:p>
        </w:tc>
        <w:tc>
          <w:tcPr>
            <w:tcW w:type="dxa" w:w="7056"/>
            <w:shd w:val="clear" w:fill="0B2447"/>
          </w:tcPr>
          <w:p>
            <w:pPr>
              <w:spacing w:after="40" w:before="40"/>
            </w:pPr>
            <w:r/>
            <w:r>
              <w:rPr>
                <w:rFonts w:ascii="Calibri" w:hAnsi="Calibri"/>
                <w:b/>
                <w:color w:val="FFFFFF"/>
                <w:sz w:val="19"/>
              </w:rPr>
              <w:t>Withheld</w:t>
            </w:r>
          </w:p>
        </w:tc>
      </w:tr>
      <w:tr>
        <w:tc>
          <w:tcPr>
            <w:tcW w:type="dxa" w:w="2592"/>
          </w:tcPr>
          <w:p>
            <w:pPr>
              <w:spacing w:after="40" w:before="40"/>
            </w:pPr>
            <w:r/>
            <w:r>
              <w:rPr>
                <w:rFonts w:ascii="Calibri" w:hAnsi="Calibri"/>
                <w:b w:val="0"/>
                <w:color w:val="344054"/>
                <w:sz w:val="19"/>
              </w:rPr>
              <w:t>Unauthenticated caller</w:t>
            </w:r>
          </w:p>
        </w:tc>
        <w:tc>
          <w:tcPr>
            <w:tcW w:type="dxa" w:w="7056"/>
          </w:tcPr>
          <w:p>
            <w:pPr>
              <w:spacing w:after="40" w:before="40"/>
            </w:pPr>
            <w:r/>
            <w:r>
              <w:rPr>
                <w:rFonts w:ascii="Calibri" w:hAnsi="Calibri"/>
                <w:b w:val="0"/>
                <w:color w:val="344054"/>
                <w:sz w:val="19"/>
              </w:rPr>
              <w:t>Turnover, GSTIN, CIN, contact data; every draft or unpublished record</w:t>
            </w:r>
          </w:p>
        </w:tc>
      </w:tr>
      <w:tr>
        <w:tc>
          <w:tcPr>
            <w:tcW w:type="dxa" w:w="2592"/>
            <w:shd w:val="clear" w:fill="F9FAFB"/>
          </w:tcPr>
          <w:p>
            <w:pPr>
              <w:spacing w:after="40" w:before="40"/>
            </w:pPr>
            <w:r/>
            <w:r>
              <w:rPr>
                <w:rFonts w:ascii="Calibri" w:hAnsi="Calibri"/>
                <w:b w:val="0"/>
                <w:color w:val="344054"/>
                <w:sz w:val="19"/>
              </w:rPr>
              <w:t>A startup</w:t>
            </w:r>
          </w:p>
        </w:tc>
        <w:tc>
          <w:tcPr>
            <w:tcW w:type="dxa" w:w="7056"/>
            <w:shd w:val="clear" w:fill="F9FAFB"/>
          </w:tcPr>
          <w:p>
            <w:pPr>
              <w:spacing w:after="40" w:before="40"/>
            </w:pPr>
            <w:r/>
            <w:r>
              <w:rPr>
                <w:rFonts w:ascii="Calibri" w:hAnsi="Calibri"/>
                <w:b w:val="0"/>
                <w:color w:val="344054"/>
                <w:sz w:val="19"/>
              </w:rPr>
              <w:t>Every record belonging to another startup; the identity of individual evaluators; any other department's pipeline</w:t>
            </w:r>
          </w:p>
        </w:tc>
      </w:tr>
      <w:tr>
        <w:tc>
          <w:tcPr>
            <w:tcW w:type="dxa" w:w="2592"/>
          </w:tcPr>
          <w:p>
            <w:pPr>
              <w:spacing w:after="40" w:before="40"/>
            </w:pPr>
            <w:r/>
            <w:r>
              <w:rPr>
                <w:rFonts w:ascii="Calibri" w:hAnsi="Calibri"/>
                <w:b w:val="0"/>
                <w:color w:val="344054"/>
                <w:sz w:val="19"/>
              </w:rPr>
              <w:t>An evaluator</w:t>
            </w:r>
          </w:p>
        </w:tc>
        <w:tc>
          <w:tcPr>
            <w:tcW w:type="dxa" w:w="7056"/>
          </w:tcPr>
          <w:p>
            <w:pPr>
              <w:spacing w:after="40" w:before="40"/>
            </w:pPr>
            <w:r/>
            <w:r>
              <w:rPr>
                <w:rFonts w:ascii="Calibri" w:hAnsi="Calibri"/>
                <w:b w:val="0"/>
                <w:color w:val="344054"/>
                <w:sz w:val="19"/>
              </w:rPr>
              <w:t>Applicant identity until their own score is submitted; applications not assigned to them</w:t>
            </w:r>
          </w:p>
        </w:tc>
      </w:tr>
      <w:tr>
        <w:tc>
          <w:tcPr>
            <w:tcW w:type="dxa" w:w="2592"/>
            <w:shd w:val="clear" w:fill="F9FAFB"/>
          </w:tcPr>
          <w:p>
            <w:pPr>
              <w:spacing w:after="40" w:before="40"/>
            </w:pPr>
            <w:r/>
            <w:r>
              <w:rPr>
                <w:rFonts w:ascii="Calibri" w:hAnsi="Calibri"/>
                <w:b w:val="0"/>
                <w:color w:val="344054"/>
                <w:sz w:val="19"/>
              </w:rPr>
              <w:t>A departmental official</w:t>
            </w:r>
          </w:p>
        </w:tc>
        <w:tc>
          <w:tcPr>
            <w:tcW w:type="dxa" w:w="7056"/>
            <w:shd w:val="clear" w:fill="F9FAFB"/>
          </w:tcPr>
          <w:p>
            <w:pPr>
              <w:spacing w:after="40" w:before="40"/>
            </w:pPr>
            <w:r/>
            <w:r>
              <w:rPr>
                <w:rFonts w:ascii="Calibri" w:hAnsi="Calibri"/>
                <w:b w:val="0"/>
                <w:color w:val="344054"/>
                <w:sz w:val="19"/>
              </w:rPr>
              <w:t>Records belonging to another department</w:t>
            </w:r>
          </w:p>
        </w:tc>
      </w:tr>
      <w:tr>
        <w:tc>
          <w:tcPr>
            <w:tcW w:type="dxa" w:w="2592"/>
          </w:tcPr>
          <w:p>
            <w:pPr>
              <w:spacing w:after="40" w:before="40"/>
            </w:pPr>
            <w:r/>
            <w:r>
              <w:rPr>
                <w:rFonts w:ascii="Calibri" w:hAnsi="Calibri"/>
                <w:b w:val="0"/>
                <w:color w:val="344054"/>
                <w:sz w:val="19"/>
              </w:rPr>
              <w:t>Platform Administrator</w:t>
            </w:r>
          </w:p>
        </w:tc>
        <w:tc>
          <w:tcPr>
            <w:tcW w:type="dxa" w:w="7056"/>
          </w:tcPr>
          <w:p>
            <w:pPr>
              <w:spacing w:after="40" w:before="40"/>
            </w:pPr>
            <w:r/>
            <w:r>
              <w:rPr>
                <w:rFonts w:ascii="Calibri" w:hAnsi="Calibri"/>
                <w:b w:val="0"/>
                <w:color w:val="344054"/>
                <w:sz w:val="19"/>
              </w:rPr>
              <w:t>No read restriction, but no ability to score, approve or sanction on a department's behalf</w:t>
            </w:r>
          </w:p>
        </w:tc>
      </w:tr>
    </w:tbl>
    <w:p>
      <w:pPr>
        <w:spacing w:after="80"/>
      </w:pPr>
    </w:p>
    <w:p>
      <w:pPr>
        <w:pStyle w:val="Heading1"/>
      </w:pPr>
      <w:r>
        <w:t>6. Known gaps</w:t>
      </w:r>
    </w:p>
    <w:p>
      <w:r>
        <w:t>This section is stated plainly because a retention policy that overstates its own implementation is worse than none. The reference build defines the schedule but does not yet automate it.</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3312"/>
            <w:shd w:val="clear" w:fill="0B2447"/>
          </w:tcPr>
          <w:p>
            <w:pPr>
              <w:spacing w:after="40" w:before="40"/>
            </w:pPr>
            <w:r/>
            <w:r>
              <w:rPr>
                <w:rFonts w:ascii="Calibri" w:hAnsi="Calibri"/>
                <w:b/>
                <w:color w:val="FFFFFF"/>
                <w:sz w:val="19"/>
              </w:rPr>
              <w:t>Gap</w:t>
            </w:r>
          </w:p>
        </w:tc>
        <w:tc>
          <w:tcPr>
            <w:tcW w:type="dxa" w:w="3312"/>
            <w:shd w:val="clear" w:fill="0B2447"/>
          </w:tcPr>
          <w:p>
            <w:pPr>
              <w:spacing w:after="40" w:before="40"/>
            </w:pPr>
            <w:r/>
            <w:r>
              <w:rPr>
                <w:rFonts w:ascii="Calibri" w:hAnsi="Calibri"/>
                <w:b/>
                <w:color w:val="FFFFFF"/>
                <w:sz w:val="19"/>
              </w:rPr>
              <w:t>Effect</w:t>
            </w:r>
          </w:p>
        </w:tc>
        <w:tc>
          <w:tcPr>
            <w:tcW w:type="dxa" w:w="1728"/>
            <w:shd w:val="clear" w:fill="0B2447"/>
          </w:tcPr>
          <w:p>
            <w:pPr>
              <w:spacing w:after="40" w:before="40"/>
            </w:pPr>
            <w:r/>
            <w:r>
              <w:rPr>
                <w:rFonts w:ascii="Calibri" w:hAnsi="Calibri"/>
                <w:b/>
                <w:color w:val="FFFFFF"/>
                <w:sz w:val="19"/>
              </w:rPr>
              <w:t>Owner</w:t>
            </w:r>
          </w:p>
        </w:tc>
        <w:tc>
          <w:tcPr>
            <w:tcW w:type="dxa" w:w="1296"/>
            <w:shd w:val="clear" w:fill="0B2447"/>
          </w:tcPr>
          <w:p>
            <w:pPr>
              <w:spacing w:after="40" w:before="40"/>
            </w:pPr>
            <w:r/>
            <w:r>
              <w:rPr>
                <w:rFonts w:ascii="Calibri" w:hAnsi="Calibri"/>
                <w:b/>
                <w:color w:val="FFFFFF"/>
                <w:sz w:val="19"/>
              </w:rPr>
              <w:t>Target</w:t>
            </w:r>
          </w:p>
        </w:tc>
      </w:tr>
      <w:tr>
        <w:tc>
          <w:tcPr>
            <w:tcW w:type="dxa" w:w="3312"/>
          </w:tcPr>
          <w:p>
            <w:pPr>
              <w:spacing w:after="40" w:before="40"/>
            </w:pPr>
            <w:r/>
            <w:r>
              <w:rPr>
                <w:rFonts w:ascii="Calibri" w:hAnsi="Calibri"/>
                <w:b w:val="0"/>
                <w:color w:val="344054"/>
                <w:sz w:val="19"/>
              </w:rPr>
              <w:t>No self-service erasure or account-closure route</w:t>
            </w:r>
          </w:p>
        </w:tc>
        <w:tc>
          <w:tcPr>
            <w:tcW w:type="dxa" w:w="3312"/>
          </w:tcPr>
          <w:p>
            <w:pPr>
              <w:spacing w:after="40" w:before="40"/>
            </w:pPr>
            <w:r/>
            <w:r>
              <w:rPr>
                <w:rFonts w:ascii="Calibri" w:hAnsi="Calibri"/>
                <w:b w:val="0"/>
                <w:color w:val="344054"/>
                <w:sz w:val="19"/>
              </w:rPr>
              <w:t>An erasure request must be handled manually through the grievance module</w:t>
            </w:r>
          </w:p>
        </w:tc>
        <w:tc>
          <w:tcPr>
            <w:tcW w:type="dxa" w:w="1728"/>
          </w:tcPr>
          <w:p>
            <w:pPr>
              <w:spacing w:after="40" w:before="40"/>
            </w:pPr>
            <w:r/>
            <w:r>
              <w:rPr>
                <w:rFonts w:ascii="Calibri" w:hAnsi="Calibri"/>
                <w:b w:val="0"/>
                <w:color w:val="344054"/>
                <w:sz w:val="19"/>
              </w:rPr>
              <w:t>Scientist-E (NIC)</w:t>
            </w:r>
          </w:p>
        </w:tc>
        <w:tc>
          <w:tcPr>
            <w:tcW w:type="dxa" w:w="1296"/>
          </w:tcPr>
          <w:p>
            <w:pPr>
              <w:spacing w:after="40" w:before="40"/>
            </w:pPr>
            <w:r/>
            <w:r>
              <w:rPr>
                <w:rFonts w:ascii="Calibri" w:hAnsi="Calibri"/>
                <w:b w:val="0"/>
                <w:color w:val="344054"/>
                <w:sz w:val="19"/>
              </w:rPr>
              <w:t>31 Dec 2026</w:t>
            </w:r>
          </w:p>
        </w:tc>
      </w:tr>
      <w:tr>
        <w:tc>
          <w:tcPr>
            <w:tcW w:type="dxa" w:w="3312"/>
            <w:shd w:val="clear" w:fill="F9FAFB"/>
          </w:tcPr>
          <w:p>
            <w:pPr>
              <w:spacing w:after="40" w:before="40"/>
            </w:pPr>
            <w:r/>
            <w:r>
              <w:rPr>
                <w:rFonts w:ascii="Calibri" w:hAnsi="Calibri"/>
                <w:b w:val="0"/>
                <w:color w:val="344054"/>
                <w:sz w:val="19"/>
              </w:rPr>
              <w:t>No scheduled retention-expiry job</w:t>
            </w:r>
          </w:p>
        </w:tc>
        <w:tc>
          <w:tcPr>
            <w:tcW w:type="dxa" w:w="3312"/>
            <w:shd w:val="clear" w:fill="F9FAFB"/>
          </w:tcPr>
          <w:p>
            <w:pPr>
              <w:spacing w:after="40" w:before="40"/>
            </w:pPr>
            <w:r/>
            <w:r>
              <w:rPr>
                <w:rFonts w:ascii="Calibri" w:hAnsi="Calibri"/>
                <w:b w:val="0"/>
                <w:color w:val="344054"/>
                <w:sz w:val="19"/>
              </w:rPr>
              <w:t>Records past their period are not erased automatically</w:t>
            </w:r>
          </w:p>
        </w:tc>
        <w:tc>
          <w:tcPr>
            <w:tcW w:type="dxa" w:w="1728"/>
            <w:shd w:val="clear" w:fill="F9FAFB"/>
          </w:tcPr>
          <w:p>
            <w:pPr>
              <w:spacing w:after="40" w:before="40"/>
            </w:pPr>
            <w:r/>
            <w:r>
              <w:rPr>
                <w:rFonts w:ascii="Calibri" w:hAnsi="Calibri"/>
                <w:b w:val="0"/>
                <w:color w:val="344054"/>
                <w:sz w:val="19"/>
              </w:rPr>
              <w:t>Scientist-E (NIC)</w:t>
            </w:r>
          </w:p>
        </w:tc>
        <w:tc>
          <w:tcPr>
            <w:tcW w:type="dxa" w:w="1296"/>
            <w:shd w:val="clear" w:fill="F9FAFB"/>
          </w:tcPr>
          <w:p>
            <w:pPr>
              <w:spacing w:after="40" w:before="40"/>
            </w:pPr>
            <w:r/>
            <w:r>
              <w:rPr>
                <w:rFonts w:ascii="Calibri" w:hAnsi="Calibri"/>
                <w:b w:val="0"/>
                <w:color w:val="344054"/>
                <w:sz w:val="19"/>
              </w:rPr>
              <w:t>31 Mar 2027</w:t>
            </w:r>
          </w:p>
        </w:tc>
      </w:tr>
      <w:tr>
        <w:tc>
          <w:tcPr>
            <w:tcW w:type="dxa" w:w="3312"/>
          </w:tcPr>
          <w:p>
            <w:pPr>
              <w:spacing w:after="40" w:before="40"/>
            </w:pPr>
            <w:r/>
            <w:r>
              <w:rPr>
                <w:rFonts w:ascii="Calibri" w:hAnsi="Calibri"/>
                <w:b w:val="0"/>
                <w:color w:val="344054"/>
                <w:sz w:val="19"/>
              </w:rPr>
              <w:t>No discrete revocable consent artefact</w:t>
            </w:r>
          </w:p>
        </w:tc>
        <w:tc>
          <w:tcPr>
            <w:tcW w:type="dxa" w:w="3312"/>
          </w:tcPr>
          <w:p>
            <w:pPr>
              <w:spacing w:after="40" w:before="40"/>
            </w:pPr>
            <w:r/>
            <w:r>
              <w:rPr>
                <w:rFonts w:ascii="Calibri" w:hAnsi="Calibri"/>
                <w:b w:val="0"/>
                <w:color w:val="344054"/>
                <w:sz w:val="19"/>
              </w:rPr>
              <w:t>Consent is evidenced by the timestamped registration action rather than by a withdrawable record</w:t>
            </w:r>
          </w:p>
        </w:tc>
        <w:tc>
          <w:tcPr>
            <w:tcW w:type="dxa" w:w="1728"/>
          </w:tcPr>
          <w:p>
            <w:pPr>
              <w:spacing w:after="40" w:before="40"/>
            </w:pPr>
            <w:r/>
            <w:r>
              <w:rPr>
                <w:rFonts w:ascii="Calibri" w:hAnsi="Calibri"/>
                <w:b w:val="0"/>
                <w:color w:val="344054"/>
                <w:sz w:val="19"/>
              </w:rPr>
              <w:t>Scientist-E (NIC)</w:t>
            </w:r>
          </w:p>
        </w:tc>
        <w:tc>
          <w:tcPr>
            <w:tcW w:type="dxa" w:w="1296"/>
          </w:tcPr>
          <w:p>
            <w:pPr>
              <w:spacing w:after="40" w:before="40"/>
            </w:pPr>
            <w:r/>
            <w:r>
              <w:rPr>
                <w:rFonts w:ascii="Calibri" w:hAnsi="Calibri"/>
                <w:b w:val="0"/>
                <w:color w:val="344054"/>
                <w:sz w:val="19"/>
              </w:rPr>
              <w:t>31 Dec 2026</w:t>
            </w:r>
          </w:p>
        </w:tc>
      </w:tr>
      <w:tr>
        <w:tc>
          <w:tcPr>
            <w:tcW w:type="dxa" w:w="3312"/>
            <w:shd w:val="clear" w:fill="F9FAFB"/>
          </w:tcPr>
          <w:p>
            <w:pPr>
              <w:spacing w:after="40" w:before="40"/>
            </w:pPr>
            <w:r/>
            <w:r>
              <w:rPr>
                <w:rFonts w:ascii="Calibri" w:hAnsi="Calibri"/>
                <w:b w:val="0"/>
                <w:color w:val="344054"/>
                <w:sz w:val="19"/>
              </w:rPr>
              <w:t>No single machine-readable data-access export</w:t>
            </w:r>
          </w:p>
        </w:tc>
        <w:tc>
          <w:tcPr>
            <w:tcW w:type="dxa" w:w="3312"/>
            <w:shd w:val="clear" w:fill="F9FAFB"/>
          </w:tcPr>
          <w:p>
            <w:pPr>
              <w:spacing w:after="40" w:before="40"/>
            </w:pPr>
            <w:r/>
            <w:r>
              <w:rPr>
                <w:rFonts w:ascii="Calibri" w:hAnsi="Calibri"/>
                <w:b w:val="0"/>
                <w:color w:val="344054"/>
                <w:sz w:val="19"/>
              </w:rPr>
              <w:t>A data principal can see all their data in the interface but cannot download it in one action</w:t>
            </w:r>
          </w:p>
        </w:tc>
        <w:tc>
          <w:tcPr>
            <w:tcW w:type="dxa" w:w="1728"/>
            <w:shd w:val="clear" w:fill="F9FAFB"/>
          </w:tcPr>
          <w:p>
            <w:pPr>
              <w:spacing w:after="40" w:before="40"/>
            </w:pPr>
            <w:r/>
            <w:r>
              <w:rPr>
                <w:rFonts w:ascii="Calibri" w:hAnsi="Calibri"/>
                <w:b w:val="0"/>
                <w:color w:val="344054"/>
                <w:sz w:val="19"/>
              </w:rPr>
              <w:t>Scientist-E (NIC)</w:t>
            </w:r>
          </w:p>
        </w:tc>
        <w:tc>
          <w:tcPr>
            <w:tcW w:type="dxa" w:w="1296"/>
            <w:shd w:val="clear" w:fill="F9FAFB"/>
          </w:tcPr>
          <w:p>
            <w:pPr>
              <w:spacing w:after="40" w:before="40"/>
            </w:pPr>
            <w:r/>
            <w:r>
              <w:rPr>
                <w:rFonts w:ascii="Calibri" w:hAnsi="Calibri"/>
                <w:b w:val="0"/>
                <w:color w:val="344054"/>
                <w:sz w:val="19"/>
              </w:rPr>
              <w:t>31 Mar 2027</w:t>
            </w:r>
          </w:p>
        </w:tc>
      </w:tr>
      <w:tr>
        <w:tc>
          <w:tcPr>
            <w:tcW w:type="dxa" w:w="3312"/>
          </w:tcPr>
          <w:p>
            <w:pPr>
              <w:spacing w:after="40" w:before="40"/>
            </w:pPr>
            <w:r/>
            <w:r>
              <w:rPr>
                <w:rFonts w:ascii="Calibri" w:hAnsi="Calibri"/>
                <w:b w:val="0"/>
                <w:color w:val="344054"/>
                <w:sz w:val="19"/>
              </w:rPr>
              <w:t>No de-identification routine</w:t>
            </w:r>
          </w:p>
        </w:tc>
        <w:tc>
          <w:tcPr>
            <w:tcW w:type="dxa" w:w="3312"/>
          </w:tcPr>
          <w:p>
            <w:pPr>
              <w:spacing w:after="40" w:before="40"/>
            </w:pPr>
            <w:r/>
            <w:r>
              <w:rPr>
                <w:rFonts w:ascii="Calibri" w:hAnsi="Calibri"/>
                <w:b w:val="0"/>
                <w:color w:val="344054"/>
                <w:sz w:val="19"/>
              </w:rPr>
              <w:t>Section 4.3 is defined but not implemented</w:t>
            </w:r>
          </w:p>
        </w:tc>
        <w:tc>
          <w:tcPr>
            <w:tcW w:type="dxa" w:w="1728"/>
          </w:tcPr>
          <w:p>
            <w:pPr>
              <w:spacing w:after="40" w:before="40"/>
            </w:pPr>
            <w:r/>
            <w:r>
              <w:rPr>
                <w:rFonts w:ascii="Calibri" w:hAnsi="Calibri"/>
                <w:b w:val="0"/>
                <w:color w:val="344054"/>
                <w:sz w:val="19"/>
              </w:rPr>
              <w:t>Scientist-E (NIC)</w:t>
            </w:r>
          </w:p>
        </w:tc>
        <w:tc>
          <w:tcPr>
            <w:tcW w:type="dxa" w:w="1296"/>
          </w:tcPr>
          <w:p>
            <w:pPr>
              <w:spacing w:after="40" w:before="40"/>
            </w:pPr>
            <w:r/>
            <w:r>
              <w:rPr>
                <w:rFonts w:ascii="Calibri" w:hAnsi="Calibri"/>
                <w:b w:val="0"/>
                <w:color w:val="344054"/>
                <w:sz w:val="19"/>
              </w:rPr>
              <w:t>31 Mar 2027</w:t>
            </w:r>
          </w:p>
        </w:tc>
      </w:tr>
      <w:tr>
        <w:tc>
          <w:tcPr>
            <w:tcW w:type="dxa" w:w="3312"/>
            <w:shd w:val="clear" w:fill="F9FAFB"/>
          </w:tcPr>
          <w:p>
            <w:pPr>
              <w:spacing w:after="40" w:before="40"/>
            </w:pPr>
            <w:r/>
            <w:r>
              <w:rPr>
                <w:rFonts w:ascii="Calibri" w:hAnsi="Calibri"/>
                <w:b w:val="0"/>
                <w:color w:val="344054"/>
                <w:sz w:val="19"/>
              </w:rPr>
              <w:t>Notice not available in scheduled languages</w:t>
            </w:r>
          </w:p>
        </w:tc>
        <w:tc>
          <w:tcPr>
            <w:tcW w:type="dxa" w:w="3312"/>
            <w:shd w:val="clear" w:fill="F9FAFB"/>
          </w:tcPr>
          <w:p>
            <w:pPr>
              <w:spacing w:after="40" w:before="40"/>
            </w:pPr>
            <w:r/>
            <w:r>
              <w:rPr>
                <w:rFonts w:ascii="Calibri" w:hAnsi="Calibri"/>
                <w:b w:val="0"/>
                <w:color w:val="344054"/>
                <w:sz w:val="19"/>
              </w:rPr>
              <w:t>Blocking for a live public deployment</w:t>
            </w:r>
          </w:p>
        </w:tc>
        <w:tc>
          <w:tcPr>
            <w:tcW w:type="dxa" w:w="1728"/>
            <w:shd w:val="clear" w:fill="F9FAFB"/>
          </w:tcPr>
          <w:p>
            <w:pPr>
              <w:spacing w:after="40" w:before="40"/>
            </w:pPr>
            <w:r/>
            <w:r>
              <w:rPr>
                <w:rFonts w:ascii="Calibri" w:hAnsi="Calibri"/>
                <w:b w:val="0"/>
                <w:color w:val="344054"/>
                <w:sz w:val="19"/>
              </w:rPr>
              <w:t>Design lead</w:t>
            </w:r>
          </w:p>
        </w:tc>
        <w:tc>
          <w:tcPr>
            <w:tcW w:type="dxa" w:w="1296"/>
            <w:shd w:val="clear" w:fill="F9FAFB"/>
          </w:tcPr>
          <w:p>
            <w:pPr>
              <w:spacing w:after="40" w:before="40"/>
            </w:pPr>
            <w:r/>
            <w:r>
              <w:rPr>
                <w:rFonts w:ascii="Calibri" w:hAnsi="Calibri"/>
                <w:b w:val="0"/>
                <w:color w:val="344054"/>
                <w:sz w:val="19"/>
              </w:rPr>
              <w:t>31 Mar 2027</w:t>
            </w:r>
          </w:p>
        </w:tc>
      </w:tr>
    </w:tbl>
    <w:p>
      <w:pPr>
        <w:spacing w:after="80"/>
      </w:pPr>
    </w:p>
    <w:p>
      <w:r>
        <w:t>Each gap is also recorded on AVSAR-DPD-009 with its statutory reference, so the compliance tracker and this policy cannot drift apart.</w:t>
      </w:r>
    </w:p>
    <w:p>
      <w:pPr>
        <w:pStyle w:val="Heading1"/>
      </w:pPr>
      <w:r>
        <w:t>7. Ownership and review</w:t>
      </w:r>
    </w:p>
    <w:p>
      <w:r>
        <w:t>The procuring department is the data fiduciary and owns this policy for its own records. The Platform Administrator operates it. A named Data Protection Officer with published contact details must be appointed before live deployment.</w:t>
      </w:r>
    </w:p>
    <w:p>
      <w:r>
        <w:t>This policy is reviewed:</w:t>
      </w:r>
    </w:p>
    <w:p>
      <w:pPr>
        <w:pStyle w:val="ListBullet"/>
        <w:spacing w:after="60"/>
      </w:pPr>
      <w:r>
        <w:t>every six months as a matter of course, the next scheduled review being 31 March 2027;</w:t>
      </w:r>
    </w:p>
    <w:p>
      <w:pPr>
        <w:pStyle w:val="ListBullet"/>
        <w:spacing w:after="60"/>
      </w:pPr>
      <w:r>
        <w:t>immediately on any change to the data model that adds or removes a data category;</w:t>
      </w:r>
    </w:p>
    <w:p>
      <w:pPr>
        <w:pStyle w:val="ListBullet"/>
        <w:spacing w:after="60"/>
      </w:pPr>
      <w:r>
        <w:t>immediately on any new integration that transfers data to or from another system;</w:t>
      </w:r>
    </w:p>
    <w:p>
      <w:pPr>
        <w:pStyle w:val="ListBullet"/>
        <w:spacing w:after="60"/>
      </w:pPr>
      <w:r>
        <w:t>immediately on any amendment to the DPDP Act 2023, the CERT-In Directions or the General Financial Rules that affects retention.</w:t>
      </w:r>
    </w:p>
    <w:p>
      <w:r>
        <w:t>Every review produces a version increment and a dated revision note on the cover, even where the conclusion is that no change is required - so that the absence of a change is itself recorded rather than inferred from silence.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7085"/>
        <w:sz w:val="16"/>
      </w:rPr>
      <w:t>AVSAR-RET-010 Data Retention Policy v1.0 - Internal - Smart India Hackathon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B2447"/>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244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563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