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color w:val="667085"/>
          <w:sz w:val="26"/>
        </w:rPr>
        <w:t>AVSAR - Startup-Friendly Public Procurement Platform</w:t>
      </w:r>
    </w:p>
    <w:p>
      <w:pPr>
        <w:spacing w:after="40"/>
      </w:pPr>
      <w:r>
        <w:rPr>
          <w:rFonts w:ascii="Calibri" w:hAnsi="Calibri"/>
          <w:b/>
          <w:color w:val="0B2447"/>
          <w:sz w:val="60"/>
        </w:rPr>
        <w:t>Software Design Document</w:t>
      </w:r>
    </w:p>
    <w:p>
      <w:r>
        <w:rPr>
          <w:rFonts w:ascii="Calibri" w:hAnsi="Calibri"/>
          <w:color w:val="05639E"/>
          <w:sz w:val="24"/>
        </w:rPr>
        <w:t>Architecture, data model, workflow and control design</w:t>
      </w:r>
    </w:p>
    <w:p>
      <w:pPr>
        <w:spacing w:before="520"/>
      </w:pPr>
      <w:r>
        <w:rPr>
          <w:b/>
          <w:color w:val="0B2447"/>
          <w:sz w:val="22"/>
        </w:rPr>
        <w:t>Document control</w:t>
      </w:r>
    </w:p>
    <w:tbl>
      <w:tblPr>
        <w:tblStyle w:val="TableGrid"/>
        <w:tblW w:type="auto" w:w="0"/>
        <w:jc w:val="center"/>
        <w:tblLayout w:type="autofit"/>
        <w:tblLook w:firstColumn="1" w:firstRow="1" w:lastColumn="0" w:lastRow="0" w:noHBand="0" w:noVBand="1" w:val="04A0"/>
      </w:tblPr>
      <w:tblGrid>
        <w:gridCol w:w="4680"/>
        <w:gridCol w:w="4680"/>
      </w:tblGrid>
      <w:tr>
        <w:tc>
          <w:tcPr>
            <w:tcW w:type="dxa" w:w="2592"/>
            <w:shd w:val="clear" w:fill="0B2447"/>
          </w:tcPr>
          <w:p>
            <w:pPr>
              <w:spacing w:after="40" w:before="40"/>
            </w:pPr>
            <w:r/>
            <w:r>
              <w:rPr>
                <w:rFonts w:ascii="Calibri" w:hAnsi="Calibri"/>
                <w:b/>
                <w:color w:val="FFFFFF"/>
                <w:sz w:val="19"/>
              </w:rPr>
              <w:t>Field</w:t>
            </w:r>
          </w:p>
        </w:tc>
        <w:tc>
          <w:tcPr>
            <w:tcW w:type="dxa" w:w="6912"/>
            <w:shd w:val="clear" w:fill="0B2447"/>
          </w:tcPr>
          <w:p>
            <w:pPr>
              <w:spacing w:after="40" w:before="40"/>
            </w:pPr>
            <w:r/>
            <w:r>
              <w:rPr>
                <w:rFonts w:ascii="Calibri" w:hAnsi="Calibri"/>
                <w:b/>
                <w:color w:val="FFFFFF"/>
                <w:sz w:val="19"/>
              </w:rPr>
              <w:t>Value</w:t>
            </w:r>
          </w:p>
        </w:tc>
      </w:tr>
      <w:tr>
        <w:tc>
          <w:tcPr>
            <w:tcW w:type="dxa" w:w="2592"/>
          </w:tcPr>
          <w:p>
            <w:pPr>
              <w:spacing w:after="40" w:before="40"/>
            </w:pPr>
            <w:r/>
            <w:r>
              <w:rPr>
                <w:rFonts w:ascii="Calibri" w:hAnsi="Calibri"/>
                <w:b w:val="0"/>
                <w:color w:val="344054"/>
                <w:sz w:val="19"/>
              </w:rPr>
              <w:t>Document ID</w:t>
            </w:r>
          </w:p>
        </w:tc>
        <w:tc>
          <w:tcPr>
            <w:tcW w:type="dxa" w:w="6912"/>
          </w:tcPr>
          <w:p>
            <w:pPr>
              <w:spacing w:after="40" w:before="40"/>
            </w:pPr>
            <w:r/>
            <w:r>
              <w:rPr>
                <w:rFonts w:ascii="Calibri" w:hAnsi="Calibri"/>
                <w:b w:val="0"/>
                <w:color w:val="344054"/>
                <w:sz w:val="19"/>
              </w:rPr>
              <w:t>AVSAR-SDD-005</w:t>
            </w:r>
          </w:p>
        </w:tc>
      </w:tr>
      <w:tr>
        <w:tc>
          <w:tcPr>
            <w:tcW w:type="dxa" w:w="2592"/>
            <w:shd w:val="clear" w:fill="F9FAFB"/>
          </w:tcPr>
          <w:p>
            <w:pPr>
              <w:spacing w:after="40" w:before="40"/>
            </w:pPr>
            <w:r/>
            <w:r>
              <w:rPr>
                <w:rFonts w:ascii="Calibri" w:hAnsi="Calibri"/>
                <w:b w:val="0"/>
                <w:color w:val="344054"/>
                <w:sz w:val="19"/>
              </w:rPr>
              <w:t>Version</w:t>
            </w:r>
          </w:p>
        </w:tc>
        <w:tc>
          <w:tcPr>
            <w:tcW w:type="dxa" w:w="6912"/>
            <w:shd w:val="clear" w:fill="F9FAFB"/>
          </w:tcPr>
          <w:p>
            <w:pPr>
              <w:spacing w:after="40" w:before="40"/>
            </w:pPr>
            <w:r/>
            <w:r>
              <w:rPr>
                <w:rFonts w:ascii="Calibri" w:hAnsi="Calibri"/>
                <w:b w:val="0"/>
                <w:color w:val="344054"/>
                <w:sz w:val="19"/>
              </w:rPr>
              <w:t>1.0</w:t>
            </w:r>
          </w:p>
        </w:tc>
      </w:tr>
      <w:tr>
        <w:tc>
          <w:tcPr>
            <w:tcW w:type="dxa" w:w="2592"/>
          </w:tcPr>
          <w:p>
            <w:pPr>
              <w:spacing w:after="40" w:before="40"/>
            </w:pPr>
            <w:r/>
            <w:r>
              <w:rPr>
                <w:rFonts w:ascii="Calibri" w:hAnsi="Calibri"/>
                <w:b w:val="0"/>
                <w:color w:val="344054"/>
                <w:sz w:val="19"/>
              </w:rPr>
              <w:t>Date</w:t>
            </w:r>
          </w:p>
        </w:tc>
        <w:tc>
          <w:tcPr>
            <w:tcW w:type="dxa" w:w="6912"/>
          </w:tcPr>
          <w:p>
            <w:pPr>
              <w:spacing w:after="40" w:before="40"/>
            </w:pPr>
            <w:r/>
            <w:r>
              <w:rPr>
                <w:rFonts w:ascii="Calibri" w:hAnsi="Calibri"/>
                <w:b w:val="0"/>
                <w:color w:val="344054"/>
                <w:sz w:val="19"/>
              </w:rPr>
              <w:t>03 September 2026</w:t>
            </w:r>
          </w:p>
        </w:tc>
      </w:tr>
      <w:tr>
        <w:tc>
          <w:tcPr>
            <w:tcW w:type="dxa" w:w="2592"/>
            <w:shd w:val="clear" w:fill="F9FAFB"/>
          </w:tcPr>
          <w:p>
            <w:pPr>
              <w:spacing w:after="40" w:before="40"/>
            </w:pPr>
            <w:r/>
            <w:r>
              <w:rPr>
                <w:rFonts w:ascii="Calibri" w:hAnsi="Calibri"/>
                <w:b w:val="0"/>
                <w:color w:val="344054"/>
                <w:sz w:val="19"/>
              </w:rPr>
              <w:t>Prepared by</w:t>
            </w:r>
          </w:p>
        </w:tc>
        <w:tc>
          <w:tcPr>
            <w:tcW w:type="dxa" w:w="6912"/>
            <w:shd w:val="clear" w:fill="F9FAFB"/>
          </w:tcPr>
          <w:p>
            <w:pPr>
              <w:spacing w:after="40" w:before="40"/>
            </w:pPr>
            <w:r/>
            <w:r>
              <w:rPr>
                <w:rFonts w:ascii="Calibri" w:hAnsi="Calibri"/>
                <w:b w:val="0"/>
                <w:color w:val="344054"/>
                <w:sz w:val="19"/>
              </w:rPr>
              <w:t>TandSol</w:t>
            </w:r>
          </w:p>
        </w:tc>
      </w:tr>
      <w:tr>
        <w:tc>
          <w:tcPr>
            <w:tcW w:type="dxa" w:w="2592"/>
          </w:tcPr>
          <w:p>
            <w:pPr>
              <w:spacing w:after="40" w:before="40"/>
            </w:pPr>
            <w:r/>
            <w:r>
              <w:rPr>
                <w:rFonts w:ascii="Calibri" w:hAnsi="Calibri"/>
                <w:b w:val="0"/>
                <w:color w:val="344054"/>
                <w:sz w:val="19"/>
              </w:rPr>
              <w:t>Status</w:t>
            </w:r>
          </w:p>
        </w:tc>
        <w:tc>
          <w:tcPr>
            <w:tcW w:type="dxa" w:w="6912"/>
          </w:tcPr>
          <w:p>
            <w:pPr>
              <w:spacing w:after="40" w:before="40"/>
            </w:pPr>
            <w:r/>
            <w:r>
              <w:rPr>
                <w:rFonts w:ascii="Calibri" w:hAnsi="Calibri"/>
                <w:b w:val="0"/>
                <w:color w:val="344054"/>
                <w:sz w:val="19"/>
              </w:rPr>
              <w:t>Baselined</w:t>
            </w:r>
          </w:p>
        </w:tc>
      </w:tr>
      <w:tr>
        <w:tc>
          <w:tcPr>
            <w:tcW w:type="dxa" w:w="2592"/>
            <w:shd w:val="clear" w:fill="F9FAFB"/>
          </w:tcPr>
          <w:p>
            <w:pPr>
              <w:spacing w:after="40" w:before="40"/>
            </w:pPr>
            <w:r/>
            <w:r>
              <w:rPr>
                <w:rFonts w:ascii="Calibri" w:hAnsi="Calibri"/>
                <w:b w:val="0"/>
                <w:color w:val="344054"/>
                <w:sz w:val="19"/>
              </w:rPr>
              <w:t>Related documents</w:t>
            </w:r>
          </w:p>
        </w:tc>
        <w:tc>
          <w:tcPr>
            <w:tcW w:type="dxa" w:w="6912"/>
            <w:shd w:val="clear" w:fill="F9FAFB"/>
          </w:tcPr>
          <w:p>
            <w:pPr>
              <w:spacing w:after="40" w:before="40"/>
            </w:pPr>
            <w:r/>
            <w:r>
              <w:rPr>
                <w:rFonts w:ascii="Calibri" w:hAnsi="Calibri"/>
                <w:b w:val="0"/>
                <w:color w:val="344054"/>
                <w:sz w:val="19"/>
              </w:rPr>
              <w:t>AVSAR-HBK-001, AVSAR-CHR-002, AVSAR-PMP-003, AVSAR-RTM-004, AVSAR-CDR-006, AVSAR-RSK-007, AVSAR-TML-008, AVSAR-DPD-009, AVSAR-RET-010, AVSAR-QAB-011</w:t>
            </w:r>
          </w:p>
        </w:tc>
      </w:tr>
      <w:tr>
        <w:tc>
          <w:tcPr>
            <w:tcW w:type="dxa" w:w="2592"/>
          </w:tcPr>
          <w:p>
            <w:pPr>
              <w:spacing w:after="40" w:before="40"/>
            </w:pPr>
            <w:r/>
            <w:r>
              <w:rPr>
                <w:rFonts w:ascii="Calibri" w:hAnsi="Calibri"/>
                <w:b w:val="0"/>
                <w:color w:val="344054"/>
                <w:sz w:val="19"/>
              </w:rPr>
              <w:t>Classification</w:t>
            </w:r>
          </w:p>
        </w:tc>
        <w:tc>
          <w:tcPr>
            <w:tcW w:type="dxa" w:w="6912"/>
          </w:tcPr>
          <w:p>
            <w:pPr>
              <w:spacing w:after="40" w:before="40"/>
            </w:pPr>
            <w:r/>
            <w:r>
              <w:rPr>
                <w:rFonts w:ascii="Calibri" w:hAnsi="Calibri"/>
                <w:b w:val="0"/>
                <w:color w:val="344054"/>
                <w:sz w:val="19"/>
              </w:rPr>
              <w:t>Internal - Smart India Hackathon submission</w:t>
            </w:r>
          </w:p>
        </w:tc>
      </w:tr>
    </w:tbl>
    <w:p>
      <w:pPr>
        <w:spacing w:after="80"/>
      </w:pPr>
    </w:p>
    <w:p>
      <w:pPr>
        <w:pStyle w:val="Heading2"/>
      </w:pPr>
      <w:r>
        <w:t>Purpose of this document</w:t>
      </w:r>
    </w:p>
    <w:p>
      <w:r>
        <w:t>This document specifies how AVSAR is built. Every section number is referenced from the Design Ref column of AVSAR-RTM-004 and from the Code Register AVSAR-CDR-006, so a requirement can be traced to the design that satisfies it and to the file that implements it. Section 8 covers the mechanism, section 9 the controls, section 10 quality attributes.</w:t>
      </w:r>
    </w:p>
    <w:p>
      <w:pPr>
        <w:pStyle w:val="Heading2"/>
      </w:pPr>
      <w:r>
        <w:t>Revision history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152"/>
            <w:shd w:val="clear" w:fill="0B2447"/>
          </w:tcPr>
          <w:p>
            <w:pPr>
              <w:spacing w:after="40" w:before="40"/>
            </w:pPr>
            <w:r/>
            <w:r>
              <w:rPr>
                <w:rFonts w:ascii="Calibri" w:hAnsi="Calibri"/>
                <w:b/>
                <w:color w:val="FFFFFF"/>
                <w:sz w:val="19"/>
              </w:rPr>
              <w:t>Version</w:t>
            </w:r>
          </w:p>
        </w:tc>
        <w:tc>
          <w:tcPr>
            <w:tcW w:type="dxa" w:w="1584"/>
            <w:shd w:val="clear" w:fill="0B2447"/>
          </w:tcPr>
          <w:p>
            <w:pPr>
              <w:spacing w:after="40" w:before="40"/>
            </w:pPr>
            <w:r/>
            <w:r>
              <w:rPr>
                <w:rFonts w:ascii="Calibri" w:hAnsi="Calibri"/>
                <w:b/>
                <w:color w:val="FFFFFF"/>
                <w:sz w:val="19"/>
              </w:rPr>
              <w:t>Date</w:t>
            </w:r>
          </w:p>
        </w:tc>
        <w:tc>
          <w:tcPr>
            <w:tcW w:type="dxa" w:w="1584"/>
            <w:shd w:val="clear" w:fill="0B2447"/>
          </w:tcPr>
          <w:p>
            <w:pPr>
              <w:spacing w:after="40" w:before="40"/>
            </w:pPr>
            <w:r/>
            <w:r>
              <w:rPr>
                <w:rFonts w:ascii="Calibri" w:hAnsi="Calibri"/>
                <w:b/>
                <w:color w:val="FFFFFF"/>
                <w:sz w:val="19"/>
              </w:rPr>
              <w:t>Author</w:t>
            </w:r>
          </w:p>
        </w:tc>
        <w:tc>
          <w:tcPr>
            <w:tcW w:type="dxa" w:w="5184"/>
            <w:shd w:val="clear" w:fill="0B2447"/>
          </w:tcPr>
          <w:p>
            <w:pPr>
              <w:spacing w:after="40" w:before="40"/>
            </w:pPr>
            <w:r/>
            <w:r>
              <w:rPr>
                <w:rFonts w:ascii="Calibri" w:hAnsi="Calibri"/>
                <w:b/>
                <w:color w:val="FFFFFF"/>
                <w:sz w:val="19"/>
              </w:rPr>
              <w:t>Change</w:t>
            </w:r>
          </w:p>
        </w:tc>
      </w:tr>
      <w:tr>
        <w:tc>
          <w:tcPr>
            <w:tcW w:type="dxa" w:w="1152"/>
          </w:tcPr>
          <w:p>
            <w:pPr>
              <w:spacing w:after="40" w:before="40"/>
            </w:pPr>
            <w:r/>
            <w:r>
              <w:rPr>
                <w:rFonts w:ascii="Calibri" w:hAnsi="Calibri"/>
                <w:b w:val="0"/>
                <w:color w:val="344054"/>
                <w:sz w:val="19"/>
              </w:rPr>
              <w:t>1.0</w:t>
            </w:r>
          </w:p>
        </w:tc>
        <w:tc>
          <w:tcPr>
            <w:tcW w:type="dxa" w:w="1584"/>
          </w:tcPr>
          <w:p>
            <w:pPr>
              <w:spacing w:after="40" w:before="40"/>
            </w:pPr>
            <w:r/>
            <w:r>
              <w:rPr>
                <w:rFonts w:ascii="Calibri" w:hAnsi="Calibri"/>
                <w:b w:val="0"/>
                <w:color w:val="344054"/>
                <w:sz w:val="19"/>
              </w:rPr>
              <w:t>03 Sep 2026</w:t>
            </w:r>
          </w:p>
        </w:tc>
        <w:tc>
          <w:tcPr>
            <w:tcW w:type="dxa" w:w="1584"/>
          </w:tcPr>
          <w:p>
            <w:pPr>
              <w:spacing w:after="40" w:before="40"/>
            </w:pPr>
            <w:r/>
            <w:r>
              <w:rPr>
                <w:rFonts w:ascii="Calibri" w:hAnsi="Calibri"/>
                <w:b w:val="0"/>
                <w:color w:val="344054"/>
                <w:sz w:val="19"/>
              </w:rPr>
              <w:t>TandSol</w:t>
            </w:r>
          </w:p>
        </w:tc>
        <w:tc>
          <w:tcPr>
            <w:tcW w:type="dxa" w:w="5184"/>
          </w:tcPr>
          <w:p>
            <w:pPr>
              <w:spacing w:after="40" w:before="40"/>
            </w:pPr>
            <w:r/>
            <w:r>
              <w:rPr>
                <w:rFonts w:ascii="Calibri" w:hAnsi="Calibri"/>
                <w:b w:val="0"/>
                <w:color w:val="344054"/>
                <w:sz w:val="19"/>
              </w:rPr>
              <w:t>Baseline. Seventeen-table data model, four state machines, seven roles, sixty-two endpoints, thirty-one client routes.</w:t>
            </w:r>
          </w:p>
        </w:tc>
      </w:tr>
    </w:tbl>
    <w:p>
      <w:pPr>
        <w:spacing w:after="80"/>
      </w:pPr>
    </w:p>
    <w:p>
      <w:r>
        <w:br w:type="page"/>
      </w:r>
    </w:p>
    <w:p>
      <w:pPr>
        <w:pStyle w:val="Heading1"/>
      </w:pPr>
      <w:r>
        <w:t>1. Scope of this design</w:t>
      </w:r>
    </w:p>
    <w:p>
      <w:r>
        <w:t>AVSAR is a two-tier web application: a stateless JSON API over a relational store, and a single-page client that holds no authorisation logic of its own. The design is deliberately small in surface area and deliberately explicit in its rules, because the rules are the product. A reviewer should be able to read four files - the policy constants, the workflow state machines, the eligibility gate and the audit chain - and understand the entire mechanism without reading a route handler.</w:t>
      </w:r>
    </w:p>
    <w:p>
      <w:pPr>
        <w:pStyle w:val="Heading1"/>
      </w:pPr>
      <w:r>
        <w:t>2. Design principles</w:t>
      </w:r>
    </w:p>
    <w:p>
      <w:pPr>
        <w:pStyle w:val="ListBullet"/>
        <w:spacing w:after="60"/>
      </w:pPr>
      <w:r>
        <w:rPr>
          <w:b/>
        </w:rPr>
        <w:t xml:space="preserve">Rules in one place. </w:t>
      </w:r>
      <w:r>
        <w:t>Every statutory limit is declared once, in server/src/config.js, beside the instrument it derives from. There is no second definition of ten years or of one hundred crore anywhere in the codebase.</w:t>
      </w:r>
    </w:p>
    <w:p>
      <w:pPr>
        <w:pStyle w:val="ListBullet"/>
        <w:spacing w:after="60"/>
      </w:pPr>
      <w:r>
        <w:rPr>
          <w:b/>
        </w:rPr>
        <w:t xml:space="preserve">State machines declared, not discovered. </w:t>
      </w:r>
      <w:r>
        <w:t>All four lifecycles are declared together in server/src/services/workflow.js. A transition scattered across handlers is a transition nobody can review; declared together, the legal order of operations is one file read end to end.</w:t>
      </w:r>
    </w:p>
    <w:p>
      <w:pPr>
        <w:pStyle w:val="ListBullet"/>
        <w:spacing w:after="60"/>
      </w:pPr>
      <w:r>
        <w:rPr>
          <w:b/>
        </w:rPr>
        <w:t xml:space="preserve">Explainable over clever. </w:t>
      </w:r>
      <w:r>
        <w:t>Both scoring models return the reason for every point. A shortlist that cannot be explained to a public auditor is worthless regardless of how good the ranking is.</w:t>
      </w:r>
    </w:p>
    <w:p>
      <w:pPr>
        <w:pStyle w:val="ListBullet"/>
        <w:spacing w:after="60"/>
      </w:pPr>
      <w:r>
        <w:rPr>
          <w:b/>
        </w:rPr>
        <w:t xml:space="preserve">Refusal is the feature. </w:t>
      </w:r>
      <w:r>
        <w:t>The design effort went into what the platform will not do: publish without a KPI, activate a pilot without a data processing agreement, accept a score without a conflict declaration, draft a procurement without pilot evidence, let a nodal officer approve their own work.</w:t>
      </w:r>
    </w:p>
    <w:p>
      <w:pPr>
        <w:pStyle w:val="ListBullet"/>
        <w:spacing w:after="60"/>
      </w:pPr>
      <w:r>
        <w:rPr>
          <w:b/>
        </w:rPr>
        <w:t xml:space="preserve">No native dependencies. </w:t>
      </w:r>
      <w:r>
        <w:t>The database is the Node runtime's own SQLite. The project installs with one command on any machine that runs Node, and no install step can fail on a compiler toolchain.</w:t>
      </w:r>
    </w:p>
    <w:p>
      <w:pPr>
        <w:pStyle w:val="ListBullet"/>
        <w:spacing w:after="60"/>
      </w:pPr>
      <w:r>
        <w:rPr>
          <w:b/>
        </w:rPr>
        <w:t xml:space="preserve">Server is the authority. </w:t>
      </w:r>
      <w:r>
        <w:t>The client hides controls the server would refuse; it never gates anything the server does not also gate.</w:t>
      </w:r>
    </w:p>
    <w:p>
      <w:pPr>
        <w:pStyle w:val="Heading1"/>
      </w:pPr>
      <w:r>
        <w:t>3. Architecture overview</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296"/>
            <w:shd w:val="clear" w:fill="0B2447"/>
          </w:tcPr>
          <w:p>
            <w:pPr>
              <w:spacing w:after="40" w:before="40"/>
            </w:pPr>
            <w:r/>
            <w:r>
              <w:rPr>
                <w:rFonts w:ascii="Calibri" w:hAnsi="Calibri"/>
                <w:b/>
                <w:color w:val="FFFFFF"/>
                <w:sz w:val="19"/>
              </w:rPr>
              <w:t>Tier</w:t>
            </w:r>
          </w:p>
        </w:tc>
        <w:tc>
          <w:tcPr>
            <w:tcW w:type="dxa" w:w="4464"/>
            <w:shd w:val="clear" w:fill="0B2447"/>
          </w:tcPr>
          <w:p>
            <w:pPr>
              <w:spacing w:after="40" w:before="40"/>
            </w:pPr>
            <w:r/>
            <w:r>
              <w:rPr>
                <w:rFonts w:ascii="Calibri" w:hAnsi="Calibri"/>
                <w:b/>
                <w:color w:val="FFFFFF"/>
                <w:sz w:val="19"/>
              </w:rPr>
              <w:t>Responsibility</w:t>
            </w:r>
          </w:p>
        </w:tc>
        <w:tc>
          <w:tcPr>
            <w:tcW w:type="dxa" w:w="3888"/>
            <w:shd w:val="clear" w:fill="0B2447"/>
          </w:tcPr>
          <w:p>
            <w:pPr>
              <w:spacing w:after="40" w:before="40"/>
            </w:pPr>
            <w:r/>
            <w:r>
              <w:rPr>
                <w:rFonts w:ascii="Calibri" w:hAnsi="Calibri"/>
                <w:b/>
                <w:color w:val="FFFFFF"/>
                <w:sz w:val="19"/>
              </w:rPr>
              <w:t>Technology</w:t>
            </w:r>
          </w:p>
        </w:tc>
      </w:tr>
      <w:tr>
        <w:tc>
          <w:tcPr>
            <w:tcW w:type="dxa" w:w="1296"/>
          </w:tcPr>
          <w:p>
            <w:pPr>
              <w:spacing w:after="40" w:before="40"/>
            </w:pPr>
            <w:r/>
            <w:r>
              <w:rPr>
                <w:rFonts w:ascii="Calibri" w:hAnsi="Calibri"/>
                <w:b w:val="0"/>
                <w:color w:val="344054"/>
                <w:sz w:val="19"/>
              </w:rPr>
              <w:t>Client</w:t>
            </w:r>
          </w:p>
        </w:tc>
        <w:tc>
          <w:tcPr>
            <w:tcW w:type="dxa" w:w="4464"/>
          </w:tcPr>
          <w:p>
            <w:pPr>
              <w:spacing w:after="40" w:before="40"/>
            </w:pPr>
            <w:r/>
            <w:r>
              <w:rPr>
                <w:rFonts w:ascii="Calibri" w:hAnsi="Calibri"/>
                <w:b w:val="0"/>
                <w:color w:val="344054"/>
                <w:sz w:val="19"/>
              </w:rPr>
              <w:t>Presentation, form validation for feedback only, role-derived navigation</w:t>
            </w:r>
          </w:p>
        </w:tc>
        <w:tc>
          <w:tcPr>
            <w:tcW w:type="dxa" w:w="3888"/>
          </w:tcPr>
          <w:p>
            <w:pPr>
              <w:spacing w:after="40" w:before="40"/>
            </w:pPr>
            <w:r/>
            <w:r>
              <w:rPr>
                <w:rFonts w:ascii="Calibri" w:hAnsi="Calibri"/>
                <w:b w:val="0"/>
                <w:color w:val="344054"/>
                <w:sz w:val="19"/>
              </w:rPr>
              <w:t>React 18, React Router 6, Vite 5, Recharts, hand-written CSS</w:t>
            </w:r>
          </w:p>
        </w:tc>
      </w:tr>
      <w:tr>
        <w:tc>
          <w:tcPr>
            <w:tcW w:type="dxa" w:w="1296"/>
            <w:shd w:val="clear" w:fill="F9FAFB"/>
          </w:tcPr>
          <w:p>
            <w:pPr>
              <w:spacing w:after="40" w:before="40"/>
            </w:pPr>
            <w:r/>
            <w:r>
              <w:rPr>
                <w:rFonts w:ascii="Calibri" w:hAnsi="Calibri"/>
                <w:b w:val="0"/>
                <w:color w:val="344054"/>
                <w:sz w:val="19"/>
              </w:rPr>
              <w:t>API</w:t>
            </w:r>
          </w:p>
        </w:tc>
        <w:tc>
          <w:tcPr>
            <w:tcW w:type="dxa" w:w="4464"/>
            <w:shd w:val="clear" w:fill="F9FAFB"/>
          </w:tcPr>
          <w:p>
            <w:pPr>
              <w:spacing w:after="40" w:before="40"/>
            </w:pPr>
            <w:r/>
            <w:r>
              <w:rPr>
                <w:rFonts w:ascii="Calibri" w:hAnsi="Calibri"/>
                <w:b w:val="0"/>
                <w:color w:val="344054"/>
                <w:sz w:val="19"/>
              </w:rPr>
              <w:t>Authentication, authorisation, request validation, workflow enforcement, audit</w:t>
            </w:r>
          </w:p>
        </w:tc>
        <w:tc>
          <w:tcPr>
            <w:tcW w:type="dxa" w:w="3888"/>
            <w:shd w:val="clear" w:fill="F9FAFB"/>
          </w:tcPr>
          <w:p>
            <w:pPr>
              <w:spacing w:after="40" w:before="40"/>
            </w:pPr>
            <w:r/>
            <w:r>
              <w:rPr>
                <w:rFonts w:ascii="Calibri" w:hAnsi="Calibri"/>
                <w:b w:val="0"/>
                <w:color w:val="344054"/>
                <w:sz w:val="19"/>
              </w:rPr>
              <w:t>Node.js 22+, Express 4, Zod 3</w:t>
            </w:r>
          </w:p>
        </w:tc>
      </w:tr>
      <w:tr>
        <w:tc>
          <w:tcPr>
            <w:tcW w:type="dxa" w:w="1296"/>
          </w:tcPr>
          <w:p>
            <w:pPr>
              <w:spacing w:after="40" w:before="40"/>
            </w:pPr>
            <w:r/>
            <w:r>
              <w:rPr>
                <w:rFonts w:ascii="Calibri" w:hAnsi="Calibri"/>
                <w:b w:val="0"/>
                <w:color w:val="344054"/>
                <w:sz w:val="19"/>
              </w:rPr>
              <w:t>Domain</w:t>
            </w:r>
          </w:p>
        </w:tc>
        <w:tc>
          <w:tcPr>
            <w:tcW w:type="dxa" w:w="4464"/>
          </w:tcPr>
          <w:p>
            <w:pPr>
              <w:spacing w:after="40" w:before="40"/>
            </w:pPr>
            <w:r/>
            <w:r>
              <w:rPr>
                <w:rFonts w:ascii="Calibri" w:hAnsi="Calibri"/>
                <w:b w:val="0"/>
                <w:color w:val="344054"/>
                <w:sz w:val="19"/>
              </w:rPr>
              <w:t>Statutory gates, matching, scoring, file numbering, notifications - no HTTP or SQL concerns</w:t>
            </w:r>
          </w:p>
        </w:tc>
        <w:tc>
          <w:tcPr>
            <w:tcW w:type="dxa" w:w="3888"/>
          </w:tcPr>
          <w:p>
            <w:pPr>
              <w:spacing w:after="40" w:before="40"/>
            </w:pPr>
            <w:r/>
            <w:r>
              <w:rPr>
                <w:rFonts w:ascii="Calibri" w:hAnsi="Calibri"/>
                <w:b w:val="0"/>
                <w:color w:val="344054"/>
                <w:sz w:val="19"/>
              </w:rPr>
              <w:t>Plain ES modules</w:t>
            </w:r>
          </w:p>
        </w:tc>
      </w:tr>
      <w:tr>
        <w:tc>
          <w:tcPr>
            <w:tcW w:type="dxa" w:w="1296"/>
            <w:shd w:val="clear" w:fill="F9FAFB"/>
          </w:tcPr>
          <w:p>
            <w:pPr>
              <w:spacing w:after="40" w:before="40"/>
            </w:pPr>
            <w:r/>
            <w:r>
              <w:rPr>
                <w:rFonts w:ascii="Calibri" w:hAnsi="Calibri"/>
                <w:b w:val="0"/>
                <w:color w:val="344054"/>
                <w:sz w:val="19"/>
              </w:rPr>
              <w:t>Data</w:t>
            </w:r>
          </w:p>
        </w:tc>
        <w:tc>
          <w:tcPr>
            <w:tcW w:type="dxa" w:w="4464"/>
            <w:shd w:val="clear" w:fill="F9FAFB"/>
          </w:tcPr>
          <w:p>
            <w:pPr>
              <w:spacing w:after="40" w:before="40"/>
            </w:pPr>
            <w:r/>
            <w:r>
              <w:rPr>
                <w:rFonts w:ascii="Calibri" w:hAnsi="Calibri"/>
                <w:b w:val="0"/>
                <w:color w:val="344054"/>
                <w:sz w:val="19"/>
              </w:rPr>
              <w:t>Relational storage, transactions, referential integrity, append-only audit</w:t>
            </w:r>
          </w:p>
        </w:tc>
        <w:tc>
          <w:tcPr>
            <w:tcW w:type="dxa" w:w="3888"/>
            <w:shd w:val="clear" w:fill="F9FAFB"/>
          </w:tcPr>
          <w:p>
            <w:pPr>
              <w:spacing w:after="40" w:before="40"/>
            </w:pPr>
            <w:r/>
            <w:r>
              <w:rPr>
                <w:rFonts w:ascii="Calibri" w:hAnsi="Calibri"/>
                <w:b w:val="0"/>
                <w:color w:val="344054"/>
                <w:sz w:val="19"/>
              </w:rPr>
              <w:t>SQLite via node:sqlite; portable SQL</w:t>
            </w:r>
          </w:p>
        </w:tc>
      </w:tr>
    </w:tbl>
    <w:p>
      <w:pPr>
        <w:spacing w:after="80"/>
      </w:pPr>
    </w:p>
    <w:p>
      <w:pPr>
        <w:pStyle w:val="Heading1"/>
      </w:pPr>
      <w:r>
        <w:t>4. Deployment view</w:t>
      </w:r>
    </w:p>
    <w:p>
      <w:r>
        <w:t>In development the client is served by Vite on port 5173 and proxies /api to the API on port 4000, which keeps the client same-origin so no host is ever compiled into the bundle. In production the built client is static and served by the same reverse proxy that fronts the API, so the relative /api base continues to work unchanged. The API reads API_PORT in preference to PORT so that a host-injected PORT intended for the web tier cannot collide with it.</w:t>
      </w:r>
    </w:p>
    <w:p>
      <w:pPr>
        <w:pStyle w:val="Heading1"/>
      </w:pPr>
      <w:r>
        <w:t>5. Technology decisions and their justification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448"/>
            <w:shd w:val="clear" w:fill="0B2447"/>
          </w:tcPr>
          <w:p>
            <w:pPr>
              <w:spacing w:after="40" w:before="40"/>
            </w:pPr>
            <w:r/>
            <w:r>
              <w:rPr>
                <w:rFonts w:ascii="Calibri" w:hAnsi="Calibri"/>
                <w:b/>
                <w:color w:val="FFFFFF"/>
                <w:sz w:val="19"/>
              </w:rPr>
              <w:t>Decision</w:t>
            </w:r>
          </w:p>
        </w:tc>
        <w:tc>
          <w:tcPr>
            <w:tcW w:type="dxa" w:w="2736"/>
            <w:shd w:val="clear" w:fill="0B2447"/>
          </w:tcPr>
          <w:p>
            <w:pPr>
              <w:spacing w:after="40" w:before="40"/>
            </w:pPr>
            <w:r/>
            <w:r>
              <w:rPr>
                <w:rFonts w:ascii="Calibri" w:hAnsi="Calibri"/>
                <w:b/>
                <w:color w:val="FFFFFF"/>
                <w:sz w:val="19"/>
              </w:rPr>
              <w:t>Alternative considered</w:t>
            </w:r>
          </w:p>
        </w:tc>
        <w:tc>
          <w:tcPr>
            <w:tcW w:type="dxa" w:w="4464"/>
            <w:shd w:val="clear" w:fill="0B2447"/>
          </w:tcPr>
          <w:p>
            <w:pPr>
              <w:spacing w:after="40" w:before="40"/>
            </w:pPr>
            <w:r/>
            <w:r>
              <w:rPr>
                <w:rFonts w:ascii="Calibri" w:hAnsi="Calibri"/>
                <w:b/>
                <w:color w:val="FFFFFF"/>
                <w:sz w:val="19"/>
              </w:rPr>
              <w:t>Why this one</w:t>
            </w:r>
          </w:p>
        </w:tc>
      </w:tr>
      <w:tr>
        <w:tc>
          <w:tcPr>
            <w:tcW w:type="dxa" w:w="2448"/>
          </w:tcPr>
          <w:p>
            <w:pPr>
              <w:spacing w:after="40" w:before="40"/>
            </w:pPr>
            <w:r/>
            <w:r>
              <w:rPr>
                <w:rFonts w:ascii="Calibri" w:hAnsi="Calibri"/>
                <w:b w:val="0"/>
                <w:color w:val="344054"/>
                <w:sz w:val="19"/>
              </w:rPr>
              <w:t>node:sqlite</w:t>
            </w:r>
          </w:p>
        </w:tc>
        <w:tc>
          <w:tcPr>
            <w:tcW w:type="dxa" w:w="2736"/>
          </w:tcPr>
          <w:p>
            <w:pPr>
              <w:spacing w:after="40" w:before="40"/>
            </w:pPr>
            <w:r/>
            <w:r>
              <w:rPr>
                <w:rFonts w:ascii="Calibri" w:hAnsi="Calibri"/>
                <w:b w:val="0"/>
                <w:color w:val="344054"/>
                <w:sz w:val="19"/>
              </w:rPr>
              <w:t>better-sqlite3; PostgreSQL from the outset</w:t>
            </w:r>
          </w:p>
        </w:tc>
        <w:tc>
          <w:tcPr>
            <w:tcW w:type="dxa" w:w="4464"/>
          </w:tcPr>
          <w:p>
            <w:pPr>
              <w:spacing w:after="40" w:before="40"/>
            </w:pPr>
            <w:r/>
            <w:r>
              <w:rPr>
                <w:rFonts w:ascii="Calibri" w:hAnsi="Calibri"/>
                <w:b w:val="0"/>
                <w:color w:val="344054"/>
                <w:sz w:val="19"/>
              </w:rPr>
              <w:t>No native compilation, so install cannot fail; no server to start before a demo. Schema stays portable SQL so PostgreSQL is a driver swap, not a rewrite.</w:t>
            </w:r>
          </w:p>
        </w:tc>
      </w:tr>
      <w:tr>
        <w:tc>
          <w:tcPr>
            <w:tcW w:type="dxa" w:w="2448"/>
            <w:shd w:val="clear" w:fill="F9FAFB"/>
          </w:tcPr>
          <w:p>
            <w:pPr>
              <w:spacing w:after="40" w:before="40"/>
            </w:pPr>
            <w:r/>
            <w:r>
              <w:rPr>
                <w:rFonts w:ascii="Calibri" w:hAnsi="Calibri"/>
                <w:b w:val="0"/>
                <w:color w:val="344054"/>
                <w:sz w:val="19"/>
              </w:rPr>
              <w:t>Hand-written CSS with tokens</w:t>
            </w:r>
          </w:p>
        </w:tc>
        <w:tc>
          <w:tcPr>
            <w:tcW w:type="dxa" w:w="2736"/>
            <w:shd w:val="clear" w:fill="F9FAFB"/>
          </w:tcPr>
          <w:p>
            <w:pPr>
              <w:spacing w:after="40" w:before="40"/>
            </w:pPr>
            <w:r/>
            <w:r>
              <w:rPr>
                <w:rFonts w:ascii="Calibri" w:hAnsi="Calibri"/>
                <w:b w:val="0"/>
                <w:color w:val="344054"/>
                <w:sz w:val="19"/>
              </w:rPr>
              <w:t>Tailwind; Material UI</w:t>
            </w:r>
          </w:p>
        </w:tc>
        <w:tc>
          <w:tcPr>
            <w:tcW w:type="dxa" w:w="4464"/>
            <w:shd w:val="clear" w:fill="F9FAFB"/>
          </w:tcPr>
          <w:p>
            <w:pPr>
              <w:spacing w:after="40" w:before="40"/>
            </w:pPr>
            <w:r/>
            <w:r>
              <w:rPr>
                <w:rFonts w:ascii="Calibri" w:hAnsi="Calibri"/>
                <w:b w:val="0"/>
                <w:color w:val="344054"/>
                <w:sz w:val="19"/>
              </w:rPr>
              <w:t>A government service should not look like a SaaS template, and a design system you did not write is one you cannot defend. Total cost: 27 kB of CSS for the entire visual layer.</w:t>
            </w:r>
          </w:p>
        </w:tc>
      </w:tr>
      <w:tr>
        <w:tc>
          <w:tcPr>
            <w:tcW w:type="dxa" w:w="2448"/>
          </w:tcPr>
          <w:p>
            <w:pPr>
              <w:spacing w:after="40" w:before="40"/>
            </w:pPr>
            <w:r/>
            <w:r>
              <w:rPr>
                <w:rFonts w:ascii="Calibri" w:hAnsi="Calibri"/>
                <w:b w:val="0"/>
                <w:color w:val="344054"/>
                <w:sz w:val="19"/>
              </w:rPr>
              <w:t>Zod at the route boundary</w:t>
            </w:r>
          </w:p>
        </w:tc>
        <w:tc>
          <w:tcPr>
            <w:tcW w:type="dxa" w:w="2736"/>
          </w:tcPr>
          <w:p>
            <w:pPr>
              <w:spacing w:after="40" w:before="40"/>
            </w:pPr>
            <w:r/>
            <w:r>
              <w:rPr>
                <w:rFonts w:ascii="Calibri" w:hAnsi="Calibri"/>
                <w:b w:val="0"/>
                <w:color w:val="344054"/>
                <w:sz w:val="19"/>
              </w:rPr>
              <w:t>Manual checks in handlers</w:t>
            </w:r>
          </w:p>
        </w:tc>
        <w:tc>
          <w:tcPr>
            <w:tcW w:type="dxa" w:w="4464"/>
          </w:tcPr>
          <w:p>
            <w:pPr>
              <w:spacing w:after="40" w:before="40"/>
            </w:pPr>
            <w:r/>
            <w:r>
              <w:rPr>
                <w:rFonts w:ascii="Calibri" w:hAnsi="Calibri"/>
                <w:b w:val="0"/>
                <w:color w:val="344054"/>
                <w:sz w:val="19"/>
              </w:rPr>
              <w:t>Parse rather than validate: the handler receives typed, coerced data, and a failure returns field-level errors the form renders inline.</w:t>
            </w:r>
          </w:p>
        </w:tc>
      </w:tr>
      <w:tr>
        <w:tc>
          <w:tcPr>
            <w:tcW w:type="dxa" w:w="2448"/>
            <w:shd w:val="clear" w:fill="F9FAFB"/>
          </w:tcPr>
          <w:p>
            <w:pPr>
              <w:spacing w:after="40" w:before="40"/>
            </w:pPr>
            <w:r/>
            <w:r>
              <w:rPr>
                <w:rFonts w:ascii="Calibri" w:hAnsi="Calibri"/>
                <w:b w:val="0"/>
                <w:color w:val="344054"/>
                <w:sz w:val="19"/>
              </w:rPr>
              <w:t>JWT, no server session</w:t>
            </w:r>
          </w:p>
        </w:tc>
        <w:tc>
          <w:tcPr>
            <w:tcW w:type="dxa" w:w="2736"/>
            <w:shd w:val="clear" w:fill="F9FAFB"/>
          </w:tcPr>
          <w:p>
            <w:pPr>
              <w:spacing w:after="40" w:before="40"/>
            </w:pPr>
            <w:r/>
            <w:r>
              <w:rPr>
                <w:rFonts w:ascii="Calibri" w:hAnsi="Calibri"/>
                <w:b w:val="0"/>
                <w:color w:val="344054"/>
                <w:sz w:val="19"/>
              </w:rPr>
              <w:t>Server-side sessions</w:t>
            </w:r>
          </w:p>
        </w:tc>
        <w:tc>
          <w:tcPr>
            <w:tcW w:type="dxa" w:w="4464"/>
            <w:shd w:val="clear" w:fill="F9FAFB"/>
          </w:tcPr>
          <w:p>
            <w:pPr>
              <w:spacing w:after="40" w:before="40"/>
            </w:pPr>
            <w:r/>
            <w:r>
              <w:rPr>
                <w:rFonts w:ascii="Calibri" w:hAnsi="Calibri"/>
                <w:b w:val="0"/>
                <w:color w:val="344054"/>
                <w:sz w:val="19"/>
              </w:rPr>
              <w:t>The API stays stateless and horizontally scalable. Revocation risk is handled by reloading the user on every request rather than trusting the token alone.</w:t>
            </w:r>
          </w:p>
        </w:tc>
      </w:tr>
      <w:tr>
        <w:tc>
          <w:tcPr>
            <w:tcW w:type="dxa" w:w="2448"/>
          </w:tcPr>
          <w:p>
            <w:pPr>
              <w:spacing w:after="40" w:before="40"/>
            </w:pPr>
            <w:r/>
            <w:r>
              <w:rPr>
                <w:rFonts w:ascii="Calibri" w:hAnsi="Calibri"/>
                <w:b w:val="0"/>
                <w:color w:val="344054"/>
                <w:sz w:val="19"/>
              </w:rPr>
              <w:t>Weighted explainable matching</w:t>
            </w:r>
          </w:p>
        </w:tc>
        <w:tc>
          <w:tcPr>
            <w:tcW w:type="dxa" w:w="2736"/>
          </w:tcPr>
          <w:p>
            <w:pPr>
              <w:spacing w:after="40" w:before="40"/>
            </w:pPr>
            <w:r/>
            <w:r>
              <w:rPr>
                <w:rFonts w:ascii="Calibri" w:hAnsi="Calibri"/>
                <w:b w:val="0"/>
                <w:color w:val="344054"/>
                <w:sz w:val="19"/>
              </w:rPr>
              <w:t>Embedding similarity</w:t>
            </w:r>
          </w:p>
        </w:tc>
        <w:tc>
          <w:tcPr>
            <w:tcW w:type="dxa" w:w="4464"/>
          </w:tcPr>
          <w:p>
            <w:pPr>
              <w:spacing w:after="40" w:before="40"/>
            </w:pPr>
            <w:r/>
            <w:r>
              <w:rPr>
                <w:rFonts w:ascii="Calibri" w:hAnsi="Calibri"/>
                <w:b w:val="0"/>
                <w:color w:val="344054"/>
                <w:sz w:val="19"/>
              </w:rPr>
              <w:t>An audit-defensible shortlist requires a reason per point. Semantic similarity cannot be explained to the Comptroller and Auditor General.</w:t>
            </w:r>
          </w:p>
        </w:tc>
      </w:tr>
      <w:tr>
        <w:tc>
          <w:tcPr>
            <w:tcW w:type="dxa" w:w="2448"/>
            <w:shd w:val="clear" w:fill="F9FAFB"/>
          </w:tcPr>
          <w:p>
            <w:pPr>
              <w:spacing w:after="40" w:before="40"/>
            </w:pPr>
            <w:r/>
            <w:r>
              <w:rPr>
                <w:rFonts w:ascii="Calibri" w:hAnsi="Calibri"/>
                <w:b w:val="0"/>
                <w:color w:val="344054"/>
                <w:sz w:val="19"/>
              </w:rPr>
              <w:t>Hash-chained audit table</w:t>
            </w:r>
          </w:p>
        </w:tc>
        <w:tc>
          <w:tcPr>
            <w:tcW w:type="dxa" w:w="2736"/>
            <w:shd w:val="clear" w:fill="F9FAFB"/>
          </w:tcPr>
          <w:p>
            <w:pPr>
              <w:spacing w:after="40" w:before="40"/>
            </w:pPr>
            <w:r/>
            <w:r>
              <w:rPr>
                <w:rFonts w:ascii="Calibri" w:hAnsi="Calibri"/>
                <w:b w:val="0"/>
                <w:color w:val="344054"/>
                <w:sz w:val="19"/>
              </w:rPr>
              <w:t>Append-only log file; external ledger</w:t>
            </w:r>
          </w:p>
        </w:tc>
        <w:tc>
          <w:tcPr>
            <w:tcW w:type="dxa" w:w="4464"/>
            <w:shd w:val="clear" w:fill="F9FAFB"/>
          </w:tcPr>
          <w:p>
            <w:pPr>
              <w:spacing w:after="40" w:before="40"/>
            </w:pPr>
            <w:r/>
            <w:r>
              <w:rPr>
                <w:rFonts w:ascii="Calibri" w:hAnsi="Calibri"/>
                <w:b w:val="0"/>
                <w:color w:val="344054"/>
                <w:sz w:val="19"/>
              </w:rPr>
              <w:t>Tamper evidence inside the same transactional store, verifiable in one query walk, with no external dependency.</w:t>
            </w:r>
          </w:p>
        </w:tc>
      </w:tr>
    </w:tbl>
    <w:p>
      <w:pPr>
        <w:spacing w:after="80"/>
      </w:pPr>
    </w:p>
    <w:p>
      <w:pPr>
        <w:pStyle w:val="Heading1"/>
      </w:pPr>
      <w:r>
        <w:t>6. Module organisation</w:t>
      </w:r>
    </w:p>
    <w:p>
      <w:pPr>
        <w:pStyle w:val="Heading2"/>
      </w:pPr>
      <w:r>
        <w:t>6.1 Build and workspace</w:t>
      </w:r>
    </w:p>
    <w:p>
      <w:r>
        <w:t>A two-package npm workspace: server and client. The root exposes install, seed, dev, build, start and test, so a reviewer needs no knowledge of the internal layout to run anything.</w:t>
      </w:r>
    </w:p>
    <w:p>
      <w:pPr>
        <w:pStyle w:val="Heading2"/>
      </w:pPr>
      <w:r>
        <w:t>6.2 API composition</w:t>
      </w:r>
    </w:p>
    <w:p>
      <w:r>
        <w:t>server/src/index.js applies the schema idempotently at boot, then mounts eleven route modules under /api, with the not-found and error handlers registered last so every rejected promise reaches one place. A health endpoint reports service version, environment and whether the database has been seeded.</w:t>
      </w:r>
    </w:p>
    <w:p>
      <w:pPr>
        <w:pStyle w:val="Heading1"/>
      </w:pPr>
      <w:r>
        <w:t>7. Data model</w:t>
      </w:r>
    </w:p>
    <w:p>
      <w:r>
        <w:t>Seventeen tables. Foreign keys are enforced, write-ahead logging is on, and every JSON-valued column is documented in the schema comment beside it.</w:t>
      </w:r>
    </w:p>
    <w:p>
      <w:pPr>
        <w:pStyle w:val="Heading2"/>
      </w:pPr>
      <w:r>
        <w:t>7.1 Identity and organisation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584"/>
            <w:shd w:val="clear" w:fill="0B2447"/>
          </w:tcPr>
          <w:p>
            <w:pPr>
              <w:spacing w:after="40" w:before="40"/>
            </w:pPr>
            <w:r/>
            <w:r>
              <w:rPr>
                <w:rFonts w:ascii="Calibri" w:hAnsi="Calibri"/>
                <w:b/>
                <w:color w:val="FFFFFF"/>
                <w:sz w:val="19"/>
              </w:rPr>
              <w:t>Table</w:t>
            </w:r>
          </w:p>
        </w:tc>
        <w:tc>
          <w:tcPr>
            <w:tcW w:type="dxa" w:w="3456"/>
            <w:shd w:val="clear" w:fill="0B2447"/>
          </w:tcPr>
          <w:p>
            <w:pPr>
              <w:spacing w:after="40" w:before="40"/>
            </w:pPr>
            <w:r/>
            <w:r>
              <w:rPr>
                <w:rFonts w:ascii="Calibri" w:hAnsi="Calibri"/>
                <w:b/>
                <w:color w:val="FFFFFF"/>
                <w:sz w:val="19"/>
              </w:rPr>
              <w:t>Purpose</w:t>
            </w:r>
          </w:p>
        </w:tc>
        <w:tc>
          <w:tcPr>
            <w:tcW w:type="dxa" w:w="4608"/>
            <w:shd w:val="clear" w:fill="0B2447"/>
          </w:tcPr>
          <w:p>
            <w:pPr>
              <w:spacing w:after="40" w:before="40"/>
            </w:pPr>
            <w:r/>
            <w:r>
              <w:rPr>
                <w:rFonts w:ascii="Calibri" w:hAnsi="Calibri"/>
                <w:b/>
                <w:color w:val="FFFFFF"/>
                <w:sz w:val="19"/>
              </w:rPr>
              <w:t>Notable columns</w:t>
            </w:r>
          </w:p>
        </w:tc>
      </w:tr>
      <w:tr>
        <w:tc>
          <w:tcPr>
            <w:tcW w:type="dxa" w:w="1584"/>
          </w:tcPr>
          <w:p>
            <w:pPr>
              <w:spacing w:after="40" w:before="40"/>
            </w:pPr>
            <w:r/>
            <w:r>
              <w:rPr>
                <w:rFonts w:ascii="Calibri" w:hAnsi="Calibri"/>
                <w:b w:val="0"/>
                <w:color w:val="344054"/>
                <w:sz w:val="19"/>
              </w:rPr>
              <w:t>departments</w:t>
            </w:r>
          </w:p>
        </w:tc>
        <w:tc>
          <w:tcPr>
            <w:tcW w:type="dxa" w:w="3456"/>
          </w:tcPr>
          <w:p>
            <w:pPr>
              <w:spacing w:after="40" w:before="40"/>
            </w:pPr>
            <w:r/>
            <w:r>
              <w:rPr>
                <w:rFonts w:ascii="Calibri" w:hAnsi="Calibri"/>
                <w:b w:val="0"/>
                <w:color w:val="344054"/>
                <w:sz w:val="19"/>
              </w:rPr>
              <w:t>Participating department, ministry, level and innovation budget head</w:t>
            </w:r>
          </w:p>
        </w:tc>
        <w:tc>
          <w:tcPr>
            <w:tcW w:type="dxa" w:w="4608"/>
          </w:tcPr>
          <w:p>
            <w:pPr>
              <w:spacing w:after="40" w:before="40"/>
            </w:pPr>
            <w:r/>
            <w:r>
              <w:rPr>
                <w:rFonts w:ascii="Calibri" w:hAnsi="Calibri"/>
                <w:b w:val="0"/>
                <w:color w:val="344054"/>
                <w:sz w:val="19"/>
              </w:rPr>
              <w:t>code, level (CENTRAL/STATE/ULB/PSU), budget_head, innovation_budget</w:t>
            </w:r>
          </w:p>
        </w:tc>
      </w:tr>
      <w:tr>
        <w:tc>
          <w:tcPr>
            <w:tcW w:type="dxa" w:w="1584"/>
            <w:shd w:val="clear" w:fill="F9FAFB"/>
          </w:tcPr>
          <w:p>
            <w:pPr>
              <w:spacing w:after="40" w:before="40"/>
            </w:pPr>
            <w:r/>
            <w:r>
              <w:rPr>
                <w:rFonts w:ascii="Calibri" w:hAnsi="Calibri"/>
                <w:b w:val="0"/>
                <w:color w:val="344054"/>
                <w:sz w:val="19"/>
              </w:rPr>
              <w:t>users</w:t>
            </w:r>
          </w:p>
        </w:tc>
        <w:tc>
          <w:tcPr>
            <w:tcW w:type="dxa" w:w="3456"/>
            <w:shd w:val="clear" w:fill="F9FAFB"/>
          </w:tcPr>
          <w:p>
            <w:pPr>
              <w:spacing w:after="40" w:before="40"/>
            </w:pPr>
            <w:r/>
            <w:r>
              <w:rPr>
                <w:rFonts w:ascii="Calibri" w:hAnsi="Calibri"/>
                <w:b w:val="0"/>
                <w:color w:val="344054"/>
                <w:sz w:val="19"/>
              </w:rPr>
              <w:t>Every account across all seven roles</w:t>
            </w:r>
          </w:p>
        </w:tc>
        <w:tc>
          <w:tcPr>
            <w:tcW w:type="dxa" w:w="4608"/>
            <w:shd w:val="clear" w:fill="F9FAFB"/>
          </w:tcPr>
          <w:p>
            <w:pPr>
              <w:spacing w:after="40" w:before="40"/>
            </w:pPr>
            <w:r/>
            <w:r>
              <w:rPr>
                <w:rFonts w:ascii="Calibri" w:hAnsi="Calibri"/>
                <w:b w:val="0"/>
                <w:color w:val="344054"/>
                <w:sz w:val="19"/>
              </w:rPr>
              <w:t>role, dept_id, expertise (evaluators), status, last_login_at</w:t>
            </w:r>
          </w:p>
        </w:tc>
      </w:tr>
      <w:tr>
        <w:tc>
          <w:tcPr>
            <w:tcW w:type="dxa" w:w="1584"/>
          </w:tcPr>
          <w:p>
            <w:pPr>
              <w:spacing w:after="40" w:before="40"/>
            </w:pPr>
            <w:r/>
            <w:r>
              <w:rPr>
                <w:rFonts w:ascii="Calibri" w:hAnsi="Calibri"/>
                <w:b w:val="0"/>
                <w:color w:val="344054"/>
                <w:sz w:val="19"/>
              </w:rPr>
              <w:t>startups</w:t>
            </w:r>
          </w:p>
        </w:tc>
        <w:tc>
          <w:tcPr>
            <w:tcW w:type="dxa" w:w="3456"/>
          </w:tcPr>
          <w:p>
            <w:pPr>
              <w:spacing w:after="40" w:before="40"/>
            </w:pPr>
            <w:r/>
            <w:r>
              <w:rPr>
                <w:rFonts w:ascii="Calibri" w:hAnsi="Calibri"/>
                <w:b w:val="0"/>
                <w:color w:val="344054"/>
                <w:sz w:val="19"/>
              </w:rPr>
              <w:t>The applicant entity and every fact the statutory gate tests</w:t>
            </w:r>
          </w:p>
        </w:tc>
        <w:tc>
          <w:tcPr>
            <w:tcW w:type="dxa" w:w="4608"/>
          </w:tcPr>
          <w:p>
            <w:pPr>
              <w:spacing w:after="40" w:before="40"/>
            </w:pPr>
            <w:r/>
            <w:r>
              <w:rPr>
                <w:rFonts w:ascii="Calibri" w:hAnsi="Calibri"/>
                <w:b w:val="0"/>
                <w:color w:val="344054"/>
                <w:sz w:val="19"/>
              </w:rPr>
              <w:t>dpiit_number, incorporation_date, turnover_last_fy, is_split_reconstruction, eligibility_status, eligibility_json</w:t>
            </w:r>
          </w:p>
        </w:tc>
      </w:tr>
    </w:tbl>
    <w:p>
      <w:pPr>
        <w:spacing w:after="80"/>
      </w:pPr>
    </w:p>
    <w:p>
      <w:pPr>
        <w:pStyle w:val="Heading2"/>
      </w:pPr>
      <w:r>
        <w:t>7.2 The mechanism</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584"/>
            <w:shd w:val="clear" w:fill="0B2447"/>
          </w:tcPr>
          <w:p>
            <w:pPr>
              <w:spacing w:after="40" w:before="40"/>
            </w:pPr>
            <w:r/>
            <w:r>
              <w:rPr>
                <w:rFonts w:ascii="Calibri" w:hAnsi="Calibri"/>
                <w:b/>
                <w:color w:val="FFFFFF"/>
                <w:sz w:val="19"/>
              </w:rPr>
              <w:t>Table</w:t>
            </w:r>
          </w:p>
        </w:tc>
        <w:tc>
          <w:tcPr>
            <w:tcW w:type="dxa" w:w="3456"/>
            <w:shd w:val="clear" w:fill="0B2447"/>
          </w:tcPr>
          <w:p>
            <w:pPr>
              <w:spacing w:after="40" w:before="40"/>
            </w:pPr>
            <w:r/>
            <w:r>
              <w:rPr>
                <w:rFonts w:ascii="Calibri" w:hAnsi="Calibri"/>
                <w:b/>
                <w:color w:val="FFFFFF"/>
                <w:sz w:val="19"/>
              </w:rPr>
              <w:t>Purpose</w:t>
            </w:r>
          </w:p>
        </w:tc>
        <w:tc>
          <w:tcPr>
            <w:tcW w:type="dxa" w:w="4608"/>
            <w:shd w:val="clear" w:fill="0B2447"/>
          </w:tcPr>
          <w:p>
            <w:pPr>
              <w:spacing w:after="40" w:before="40"/>
            </w:pPr>
            <w:r/>
            <w:r>
              <w:rPr>
                <w:rFonts w:ascii="Calibri" w:hAnsi="Calibri"/>
                <w:b/>
                <w:color w:val="FFFFFF"/>
                <w:sz w:val="19"/>
              </w:rPr>
              <w:t>Notable columns</w:t>
            </w:r>
          </w:p>
        </w:tc>
      </w:tr>
      <w:tr>
        <w:tc>
          <w:tcPr>
            <w:tcW w:type="dxa" w:w="1584"/>
          </w:tcPr>
          <w:p>
            <w:pPr>
              <w:spacing w:after="40" w:before="40"/>
            </w:pPr>
            <w:r/>
            <w:r>
              <w:rPr>
                <w:rFonts w:ascii="Calibri" w:hAnsi="Calibri"/>
                <w:b w:val="0"/>
                <w:color w:val="344054"/>
                <w:sz w:val="19"/>
              </w:rPr>
              <w:t>challenges</w:t>
            </w:r>
          </w:p>
        </w:tc>
        <w:tc>
          <w:tcPr>
            <w:tcW w:type="dxa" w:w="3456"/>
          </w:tcPr>
          <w:p>
            <w:pPr>
              <w:spacing w:after="40" w:before="40"/>
            </w:pPr>
            <w:r/>
            <w:r>
              <w:rPr>
                <w:rFonts w:ascii="Calibri" w:hAnsi="Calibri"/>
                <w:b w:val="0"/>
                <w:color w:val="344054"/>
                <w:sz w:val="19"/>
              </w:rPr>
              <w:t>The outcome-based problem statement</w:t>
            </w:r>
          </w:p>
        </w:tc>
        <w:tc>
          <w:tcPr>
            <w:tcW w:type="dxa" w:w="4608"/>
          </w:tcPr>
          <w:p>
            <w:pPr>
              <w:spacing w:after="40" w:before="40"/>
            </w:pPr>
            <w:r/>
            <w:r>
              <w:rPr>
                <w:rFonts w:ascii="Calibri" w:hAnsi="Calibri"/>
                <w:b w:val="0"/>
                <w:color w:val="344054"/>
                <w:sz w:val="19"/>
              </w:rPr>
              <w:t>code, success_kpis (JSON), pilot_budget_ceiling, trl_min, scale_value, ip_terms, status</w:t>
            </w:r>
          </w:p>
        </w:tc>
      </w:tr>
      <w:tr>
        <w:tc>
          <w:tcPr>
            <w:tcW w:type="dxa" w:w="1584"/>
            <w:shd w:val="clear" w:fill="F9FAFB"/>
          </w:tcPr>
          <w:p>
            <w:pPr>
              <w:spacing w:after="40" w:before="40"/>
            </w:pPr>
            <w:r/>
            <w:r>
              <w:rPr>
                <w:rFonts w:ascii="Calibri" w:hAnsi="Calibri"/>
                <w:b w:val="0"/>
                <w:color w:val="344054"/>
                <w:sz w:val="19"/>
              </w:rPr>
              <w:t>applications</w:t>
            </w:r>
          </w:p>
        </w:tc>
        <w:tc>
          <w:tcPr>
            <w:tcW w:type="dxa" w:w="3456"/>
            <w:shd w:val="clear" w:fill="F9FAFB"/>
          </w:tcPr>
          <w:p>
            <w:pPr>
              <w:spacing w:after="40" w:before="40"/>
            </w:pPr>
            <w:r/>
            <w:r>
              <w:rPr>
                <w:rFonts w:ascii="Calibri" w:hAnsi="Calibri"/>
                <w:b w:val="0"/>
                <w:color w:val="344054"/>
                <w:sz w:val="19"/>
              </w:rPr>
              <w:t>A startup's response, with the gate verdict frozen on it</w:t>
            </w:r>
          </w:p>
        </w:tc>
        <w:tc>
          <w:tcPr>
            <w:tcW w:type="dxa" w:w="4608"/>
            <w:shd w:val="clear" w:fill="F9FAFB"/>
          </w:tcPr>
          <w:p>
            <w:pPr>
              <w:spacing w:after="40" w:before="40"/>
            </w:pPr>
            <w:r/>
            <w:r>
              <w:rPr>
                <w:rFonts w:ascii="Calibri" w:hAnsi="Calibri"/>
                <w:b w:val="0"/>
                <w:color w:val="344054"/>
                <w:sz w:val="19"/>
              </w:rPr>
              <w:t>code, eligibility_snapshot (JSON), match_score, quoted_pilot_cost, status; UNIQUE (challenge_id, startup_id)</w:t>
            </w:r>
          </w:p>
        </w:tc>
      </w:tr>
      <w:tr>
        <w:tc>
          <w:tcPr>
            <w:tcW w:type="dxa" w:w="1584"/>
          </w:tcPr>
          <w:p>
            <w:pPr>
              <w:spacing w:after="40" w:before="40"/>
            </w:pPr>
            <w:r/>
            <w:r>
              <w:rPr>
                <w:rFonts w:ascii="Calibri" w:hAnsi="Calibri"/>
                <w:b w:val="0"/>
                <w:color w:val="344054"/>
                <w:sz w:val="19"/>
              </w:rPr>
              <w:t>evaluation_criteria</w:t>
            </w:r>
          </w:p>
        </w:tc>
        <w:tc>
          <w:tcPr>
            <w:tcW w:type="dxa" w:w="3456"/>
          </w:tcPr>
          <w:p>
            <w:pPr>
              <w:spacing w:after="40" w:before="40"/>
            </w:pPr>
            <w:r/>
            <w:r>
              <w:rPr>
                <w:rFonts w:ascii="Calibri" w:hAnsi="Calibri"/>
                <w:b w:val="0"/>
                <w:color w:val="344054"/>
                <w:sz w:val="19"/>
              </w:rPr>
              <w:t>The rubric, published in advance</w:t>
            </w:r>
          </w:p>
        </w:tc>
        <w:tc>
          <w:tcPr>
            <w:tcW w:type="dxa" w:w="4608"/>
          </w:tcPr>
          <w:p>
            <w:pPr>
              <w:spacing w:after="40" w:before="40"/>
            </w:pPr>
            <w:r/>
            <w:r>
              <w:rPr>
                <w:rFonts w:ascii="Calibri" w:hAnsi="Calibri"/>
                <w:b w:val="0"/>
                <w:color w:val="344054"/>
                <w:sz w:val="19"/>
              </w:rPr>
              <w:t>code, max_score, weight, bucket (TECHNICAL/COMMERCIAL)</w:t>
            </w:r>
          </w:p>
        </w:tc>
      </w:tr>
      <w:tr>
        <w:tc>
          <w:tcPr>
            <w:tcW w:type="dxa" w:w="1584"/>
            <w:shd w:val="clear" w:fill="F9FAFB"/>
          </w:tcPr>
          <w:p>
            <w:pPr>
              <w:spacing w:after="40" w:before="40"/>
            </w:pPr>
            <w:r/>
            <w:r>
              <w:rPr>
                <w:rFonts w:ascii="Calibri" w:hAnsi="Calibri"/>
                <w:b w:val="0"/>
                <w:color w:val="344054"/>
                <w:sz w:val="19"/>
              </w:rPr>
              <w:t>evaluations</w:t>
            </w:r>
          </w:p>
        </w:tc>
        <w:tc>
          <w:tcPr>
            <w:tcW w:type="dxa" w:w="3456"/>
            <w:shd w:val="clear" w:fill="F9FAFB"/>
          </w:tcPr>
          <w:p>
            <w:pPr>
              <w:spacing w:after="40" w:before="40"/>
            </w:pPr>
            <w:r/>
            <w:r>
              <w:rPr>
                <w:rFonts w:ascii="Calibri" w:hAnsi="Calibri"/>
                <w:b w:val="0"/>
                <w:color w:val="344054"/>
                <w:sz w:val="19"/>
              </w:rPr>
              <w:t>One row per evaluator per application</w:t>
            </w:r>
          </w:p>
        </w:tc>
        <w:tc>
          <w:tcPr>
            <w:tcW w:type="dxa" w:w="4608"/>
            <w:shd w:val="clear" w:fill="F9FAFB"/>
          </w:tcPr>
          <w:p>
            <w:pPr>
              <w:spacing w:after="40" w:before="40"/>
            </w:pPr>
            <w:r/>
            <w:r>
              <w:rPr>
                <w:rFonts w:ascii="Calibri" w:hAnsi="Calibri"/>
                <w:b w:val="0"/>
                <w:color w:val="344054"/>
                <w:sz w:val="19"/>
              </w:rPr>
              <w:t>scores (JSON), total_score, recommendation, coi_declared, status; UNIQUE (application_id, evaluator_id)</w:t>
            </w:r>
          </w:p>
        </w:tc>
      </w:tr>
      <w:tr>
        <w:tc>
          <w:tcPr>
            <w:tcW w:type="dxa" w:w="1584"/>
          </w:tcPr>
          <w:p>
            <w:pPr>
              <w:spacing w:after="40" w:before="40"/>
            </w:pPr>
            <w:r/>
            <w:r>
              <w:rPr>
                <w:rFonts w:ascii="Calibri" w:hAnsi="Calibri"/>
                <w:b w:val="0"/>
                <w:color w:val="344054"/>
                <w:sz w:val="19"/>
              </w:rPr>
              <w:t>pilots</w:t>
            </w:r>
          </w:p>
        </w:tc>
        <w:tc>
          <w:tcPr>
            <w:tcW w:type="dxa" w:w="3456"/>
          </w:tcPr>
          <w:p>
            <w:pPr>
              <w:spacing w:after="40" w:before="40"/>
            </w:pPr>
            <w:r/>
            <w:r>
              <w:rPr>
                <w:rFonts w:ascii="Calibri" w:hAnsi="Calibri"/>
                <w:b w:val="0"/>
                <w:color w:val="344054"/>
                <w:sz w:val="19"/>
              </w:rPr>
              <w:t>The funded sandbox</w:t>
            </w:r>
          </w:p>
        </w:tc>
        <w:tc>
          <w:tcPr>
            <w:tcW w:type="dxa" w:w="4608"/>
          </w:tcPr>
          <w:p>
            <w:pPr>
              <w:spacing w:after="40" w:before="40"/>
            </w:pPr>
            <w:r/>
            <w:r>
              <w:rPr>
                <w:rFonts w:ascii="Calibri" w:hAnsi="Calibri"/>
                <w:b w:val="0"/>
                <w:color w:val="344054"/>
                <w:sz w:val="19"/>
              </w:rPr>
              <w:t>code, budget_sanctioned, sanction_order_no, kpi_targets (JSON), dpa_signed, verdict</w:t>
            </w:r>
          </w:p>
        </w:tc>
      </w:tr>
      <w:tr>
        <w:tc>
          <w:tcPr>
            <w:tcW w:type="dxa" w:w="1584"/>
            <w:shd w:val="clear" w:fill="F9FAFB"/>
          </w:tcPr>
          <w:p>
            <w:pPr>
              <w:spacing w:after="40" w:before="40"/>
            </w:pPr>
            <w:r/>
            <w:r>
              <w:rPr>
                <w:rFonts w:ascii="Calibri" w:hAnsi="Calibri"/>
                <w:b w:val="0"/>
                <w:color w:val="344054"/>
                <w:sz w:val="19"/>
              </w:rPr>
              <w:t>milestones</w:t>
            </w:r>
          </w:p>
        </w:tc>
        <w:tc>
          <w:tcPr>
            <w:tcW w:type="dxa" w:w="3456"/>
            <w:shd w:val="clear" w:fill="F9FAFB"/>
          </w:tcPr>
          <w:p>
            <w:pPr>
              <w:spacing w:after="40" w:before="40"/>
            </w:pPr>
            <w:r/>
            <w:r>
              <w:rPr>
                <w:rFonts w:ascii="Calibri" w:hAnsi="Calibri"/>
                <w:b w:val="0"/>
                <w:color w:val="344054"/>
                <w:sz w:val="19"/>
              </w:rPr>
              <w:t>Deliverables with linked payment release</w:t>
            </w:r>
          </w:p>
        </w:tc>
        <w:tc>
          <w:tcPr>
            <w:tcW w:type="dxa" w:w="4608"/>
            <w:shd w:val="clear" w:fill="F9FAFB"/>
          </w:tcPr>
          <w:p>
            <w:pPr>
              <w:spacing w:after="40" w:before="40"/>
            </w:pPr>
            <w:r/>
            <w:r>
              <w:rPr>
                <w:rFonts w:ascii="Calibri" w:hAnsi="Calibri"/>
                <w:b w:val="0"/>
                <w:color w:val="344054"/>
                <w:sz w:val="19"/>
              </w:rPr>
              <w:t>seq, payout_percent, payout_amount, evidence_note, status</w:t>
            </w:r>
          </w:p>
        </w:tc>
      </w:tr>
      <w:tr>
        <w:tc>
          <w:tcPr>
            <w:tcW w:type="dxa" w:w="1584"/>
          </w:tcPr>
          <w:p>
            <w:pPr>
              <w:spacing w:after="40" w:before="40"/>
            </w:pPr>
            <w:r/>
            <w:r>
              <w:rPr>
                <w:rFonts w:ascii="Calibri" w:hAnsi="Calibri"/>
                <w:b w:val="0"/>
                <w:color w:val="344054"/>
                <w:sz w:val="19"/>
              </w:rPr>
              <w:t>kpi_readings</w:t>
            </w:r>
          </w:p>
        </w:tc>
        <w:tc>
          <w:tcPr>
            <w:tcW w:type="dxa" w:w="3456"/>
          </w:tcPr>
          <w:p>
            <w:pPr>
              <w:spacing w:after="40" w:before="40"/>
            </w:pPr>
            <w:r/>
            <w:r>
              <w:rPr>
                <w:rFonts w:ascii="Calibri" w:hAnsi="Calibri"/>
                <w:b w:val="0"/>
                <w:color w:val="344054"/>
                <w:sz w:val="19"/>
              </w:rPr>
              <w:t>Periodic actuals against declared targets</w:t>
            </w:r>
          </w:p>
        </w:tc>
        <w:tc>
          <w:tcPr>
            <w:tcW w:type="dxa" w:w="4608"/>
          </w:tcPr>
          <w:p>
            <w:pPr>
              <w:spacing w:after="40" w:before="40"/>
            </w:pPr>
            <w:r/>
            <w:r>
              <w:rPr>
                <w:rFonts w:ascii="Calibri" w:hAnsi="Calibri"/>
                <w:b w:val="0"/>
                <w:color w:val="344054"/>
                <w:sz w:val="19"/>
              </w:rPr>
              <w:t>kpi_key, target_value, actual_value, period, recorded_by</w:t>
            </w:r>
          </w:p>
        </w:tc>
      </w:tr>
      <w:tr>
        <w:tc>
          <w:tcPr>
            <w:tcW w:type="dxa" w:w="1584"/>
            <w:shd w:val="clear" w:fill="F9FAFB"/>
          </w:tcPr>
          <w:p>
            <w:pPr>
              <w:spacing w:after="40" w:before="40"/>
            </w:pPr>
            <w:r/>
            <w:r>
              <w:rPr>
                <w:rFonts w:ascii="Calibri" w:hAnsi="Calibri"/>
                <w:b w:val="0"/>
                <w:color w:val="344054"/>
                <w:sz w:val="19"/>
              </w:rPr>
              <w:t>procurements</w:t>
            </w:r>
          </w:p>
        </w:tc>
        <w:tc>
          <w:tcPr>
            <w:tcW w:type="dxa" w:w="3456"/>
            <w:shd w:val="clear" w:fill="F9FAFB"/>
          </w:tcPr>
          <w:p>
            <w:pPr>
              <w:spacing w:after="40" w:before="40"/>
            </w:pPr>
            <w:r/>
            <w:r>
              <w:rPr>
                <w:rFonts w:ascii="Calibri" w:hAnsi="Calibri"/>
                <w:b w:val="0"/>
                <w:color w:val="344054"/>
                <w:sz w:val="19"/>
              </w:rPr>
              <w:t>The award, and the rule it rests on</w:t>
            </w:r>
          </w:p>
        </w:tc>
        <w:tc>
          <w:tcPr>
            <w:tcW w:type="dxa" w:w="4608"/>
            <w:shd w:val="clear" w:fill="F9FAFB"/>
          </w:tcPr>
          <w:p>
            <w:pPr>
              <w:spacing w:after="40" w:before="40"/>
            </w:pPr>
            <w:r/>
            <w:r>
              <w:rPr>
                <w:rFonts w:ascii="Calibri" w:hAnsi="Calibri"/>
                <w:b w:val="0"/>
                <w:color w:val="344054"/>
                <w:sz w:val="19"/>
              </w:rPr>
              <w:t>code, mode, gfr_rule, justification, contract_value, po_number, gem_contract_id</w:t>
            </w:r>
          </w:p>
        </w:tc>
      </w:tr>
      <w:tr>
        <w:tc>
          <w:tcPr>
            <w:tcW w:type="dxa" w:w="1584"/>
          </w:tcPr>
          <w:p>
            <w:pPr>
              <w:spacing w:after="40" w:before="40"/>
            </w:pPr>
            <w:r/>
            <w:r>
              <w:rPr>
                <w:rFonts w:ascii="Calibri" w:hAnsi="Calibri"/>
                <w:b w:val="0"/>
                <w:color w:val="344054"/>
                <w:sz w:val="19"/>
              </w:rPr>
              <w:t>payments</w:t>
            </w:r>
          </w:p>
        </w:tc>
        <w:tc>
          <w:tcPr>
            <w:tcW w:type="dxa" w:w="3456"/>
          </w:tcPr>
          <w:p>
            <w:pPr>
              <w:spacing w:after="40" w:before="40"/>
            </w:pPr>
            <w:r/>
            <w:r>
              <w:rPr>
                <w:rFonts w:ascii="Calibri" w:hAnsi="Calibri"/>
                <w:b w:val="0"/>
                <w:color w:val="344054"/>
                <w:sz w:val="19"/>
              </w:rPr>
              <w:t>The obligation and the statutory clock</w:t>
            </w:r>
          </w:p>
        </w:tc>
        <w:tc>
          <w:tcPr>
            <w:tcW w:type="dxa" w:w="4608"/>
          </w:tcPr>
          <w:p>
            <w:pPr>
              <w:spacing w:after="40" w:before="40"/>
            </w:pPr>
            <w:r/>
            <w:r>
              <w:rPr>
                <w:rFonts w:ascii="Calibri" w:hAnsi="Calibri"/>
                <w:b w:val="0"/>
                <w:color w:val="344054"/>
                <w:sz w:val="19"/>
              </w:rPr>
              <w:t>invoice_no, amount, raised_on, due_date, paid_on, pfms_ref, status</w:t>
            </w:r>
          </w:p>
        </w:tc>
      </w:tr>
      <w:tr>
        <w:tc>
          <w:tcPr>
            <w:tcW w:type="dxa" w:w="1584"/>
            <w:shd w:val="clear" w:fill="F9FAFB"/>
          </w:tcPr>
          <w:p>
            <w:pPr>
              <w:spacing w:after="40" w:before="40"/>
            </w:pPr>
            <w:r/>
            <w:r>
              <w:rPr>
                <w:rFonts w:ascii="Calibri" w:hAnsi="Calibri"/>
                <w:b w:val="0"/>
                <w:color w:val="344054"/>
                <w:sz w:val="19"/>
              </w:rPr>
              <w:t>catalogue</w:t>
            </w:r>
          </w:p>
        </w:tc>
        <w:tc>
          <w:tcPr>
            <w:tcW w:type="dxa" w:w="3456"/>
            <w:shd w:val="clear" w:fill="F9FAFB"/>
          </w:tcPr>
          <w:p>
            <w:pPr>
              <w:spacing w:after="40" w:before="40"/>
            </w:pPr>
            <w:r/>
            <w:r>
              <w:rPr>
                <w:rFonts w:ascii="Calibri" w:hAnsi="Calibri"/>
                <w:b w:val="0"/>
                <w:color w:val="344054"/>
                <w:sz w:val="19"/>
              </w:rPr>
              <w:t>The Proven Solutions Registry listing</w:t>
            </w:r>
          </w:p>
        </w:tc>
        <w:tc>
          <w:tcPr>
            <w:tcW w:type="dxa" w:w="4608"/>
            <w:shd w:val="clear" w:fill="F9FAFB"/>
          </w:tcPr>
          <w:p>
            <w:pPr>
              <w:spacing w:after="40" w:before="40"/>
            </w:pPr>
            <w:r/>
            <w:r>
              <w:rPr>
                <w:rFonts w:ascii="Calibri" w:hAnsi="Calibri"/>
                <w:b w:val="0"/>
                <w:color w:val="344054"/>
                <w:sz w:val="19"/>
              </w:rPr>
              <w:t>code, unit_price, uom, proven_kpi (JSON), rate_contract_valid_till, adoptions</w:t>
            </w:r>
          </w:p>
        </w:tc>
      </w:tr>
      <w:tr>
        <w:tc>
          <w:tcPr>
            <w:tcW w:type="dxa" w:w="1584"/>
          </w:tcPr>
          <w:p>
            <w:pPr>
              <w:spacing w:after="40" w:before="40"/>
            </w:pPr>
            <w:r/>
            <w:r>
              <w:rPr>
                <w:rFonts w:ascii="Calibri" w:hAnsi="Calibri"/>
                <w:b w:val="0"/>
                <w:color w:val="344054"/>
                <w:sz w:val="19"/>
              </w:rPr>
              <w:t>adoptions</w:t>
            </w:r>
          </w:p>
        </w:tc>
        <w:tc>
          <w:tcPr>
            <w:tcW w:type="dxa" w:w="3456"/>
          </w:tcPr>
          <w:p>
            <w:pPr>
              <w:spacing w:after="40" w:before="40"/>
            </w:pPr>
            <w:r/>
            <w:r>
              <w:rPr>
                <w:rFonts w:ascii="Calibri" w:hAnsi="Calibri"/>
                <w:b w:val="0"/>
                <w:color w:val="344054"/>
                <w:sz w:val="19"/>
              </w:rPr>
              <w:t>A second department's draw-down</w:t>
            </w:r>
          </w:p>
        </w:tc>
        <w:tc>
          <w:tcPr>
            <w:tcW w:type="dxa" w:w="4608"/>
          </w:tcPr>
          <w:p>
            <w:pPr>
              <w:spacing w:after="40" w:before="40"/>
            </w:pPr>
            <w:r/>
            <w:r>
              <w:rPr>
                <w:rFonts w:ascii="Calibri" w:hAnsi="Calibri"/>
                <w:b w:val="0"/>
                <w:color w:val="344054"/>
                <w:sz w:val="19"/>
              </w:rPr>
              <w:t>catalogue_id, dept_id, quantity, value, status</w:t>
            </w:r>
          </w:p>
        </w:tc>
      </w:tr>
    </w:tbl>
    <w:p>
      <w:pPr>
        <w:spacing w:after="80"/>
      </w:pPr>
    </w:p>
    <w:p>
      <w:pPr>
        <w:pStyle w:val="Heading2"/>
      </w:pPr>
      <w:r>
        <w:t>7.3 Cross-cutting</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584"/>
            <w:shd w:val="clear" w:fill="0B2447"/>
          </w:tcPr>
          <w:p>
            <w:pPr>
              <w:spacing w:after="40" w:before="40"/>
            </w:pPr>
            <w:r/>
            <w:r>
              <w:rPr>
                <w:rFonts w:ascii="Calibri" w:hAnsi="Calibri"/>
                <w:b/>
                <w:color w:val="FFFFFF"/>
                <w:sz w:val="19"/>
              </w:rPr>
              <w:t>Table</w:t>
            </w:r>
          </w:p>
        </w:tc>
        <w:tc>
          <w:tcPr>
            <w:tcW w:type="dxa" w:w="3456"/>
            <w:shd w:val="clear" w:fill="0B2447"/>
          </w:tcPr>
          <w:p>
            <w:pPr>
              <w:spacing w:after="40" w:before="40"/>
            </w:pPr>
            <w:r/>
            <w:r>
              <w:rPr>
                <w:rFonts w:ascii="Calibri" w:hAnsi="Calibri"/>
                <w:b/>
                <w:color w:val="FFFFFF"/>
                <w:sz w:val="19"/>
              </w:rPr>
              <w:t>Purpose</w:t>
            </w:r>
          </w:p>
        </w:tc>
        <w:tc>
          <w:tcPr>
            <w:tcW w:type="dxa" w:w="4608"/>
            <w:shd w:val="clear" w:fill="0B2447"/>
          </w:tcPr>
          <w:p>
            <w:pPr>
              <w:spacing w:after="40" w:before="40"/>
            </w:pPr>
            <w:r/>
            <w:r>
              <w:rPr>
                <w:rFonts w:ascii="Calibri" w:hAnsi="Calibri"/>
                <w:b/>
                <w:color w:val="FFFFFF"/>
                <w:sz w:val="19"/>
              </w:rPr>
              <w:t>Notable columns</w:t>
            </w:r>
          </w:p>
        </w:tc>
      </w:tr>
      <w:tr>
        <w:tc>
          <w:tcPr>
            <w:tcW w:type="dxa" w:w="1584"/>
          </w:tcPr>
          <w:p>
            <w:pPr>
              <w:spacing w:after="40" w:before="40"/>
            </w:pPr>
            <w:r/>
            <w:r>
              <w:rPr>
                <w:rFonts w:ascii="Calibri" w:hAnsi="Calibri"/>
                <w:b w:val="0"/>
                <w:color w:val="344054"/>
                <w:sz w:val="19"/>
              </w:rPr>
              <w:t>grievances</w:t>
            </w:r>
          </w:p>
        </w:tc>
        <w:tc>
          <w:tcPr>
            <w:tcW w:type="dxa" w:w="3456"/>
          </w:tcPr>
          <w:p>
            <w:pPr>
              <w:spacing w:after="40" w:before="40"/>
            </w:pPr>
            <w:r/>
            <w:r>
              <w:rPr>
                <w:rFonts w:ascii="Calibri" w:hAnsi="Calibri"/>
                <w:b w:val="0"/>
                <w:color w:val="344054"/>
                <w:sz w:val="19"/>
              </w:rPr>
              <w:t>Redressal with an SLA</w:t>
            </w:r>
          </w:p>
        </w:tc>
        <w:tc>
          <w:tcPr>
            <w:tcW w:type="dxa" w:w="4608"/>
          </w:tcPr>
          <w:p>
            <w:pPr>
              <w:spacing w:after="40" w:before="40"/>
            </w:pPr>
            <w:r/>
            <w:r>
              <w:rPr>
                <w:rFonts w:ascii="Calibri" w:hAnsi="Calibri"/>
                <w:b w:val="0"/>
                <w:color w:val="344054"/>
                <w:sz w:val="19"/>
              </w:rPr>
              <w:t>code, category, description, sla_due, resolution, status</w:t>
            </w:r>
          </w:p>
        </w:tc>
      </w:tr>
      <w:tr>
        <w:tc>
          <w:tcPr>
            <w:tcW w:type="dxa" w:w="1584"/>
            <w:shd w:val="clear" w:fill="F9FAFB"/>
          </w:tcPr>
          <w:p>
            <w:pPr>
              <w:spacing w:after="40" w:before="40"/>
            </w:pPr>
            <w:r/>
            <w:r>
              <w:rPr>
                <w:rFonts w:ascii="Calibri" w:hAnsi="Calibri"/>
                <w:b w:val="0"/>
                <w:color w:val="344054"/>
                <w:sz w:val="19"/>
              </w:rPr>
              <w:t>notifications</w:t>
            </w:r>
          </w:p>
        </w:tc>
        <w:tc>
          <w:tcPr>
            <w:tcW w:type="dxa" w:w="3456"/>
            <w:shd w:val="clear" w:fill="F9FAFB"/>
          </w:tcPr>
          <w:p>
            <w:pPr>
              <w:spacing w:after="40" w:before="40"/>
            </w:pPr>
            <w:r/>
            <w:r>
              <w:rPr>
                <w:rFonts w:ascii="Calibri" w:hAnsi="Calibri"/>
                <w:b w:val="0"/>
                <w:color w:val="344054"/>
                <w:sz w:val="19"/>
              </w:rPr>
              <w:t>In-app notification per user</w:t>
            </w:r>
          </w:p>
        </w:tc>
        <w:tc>
          <w:tcPr>
            <w:tcW w:type="dxa" w:w="4608"/>
            <w:shd w:val="clear" w:fill="F9FAFB"/>
          </w:tcPr>
          <w:p>
            <w:pPr>
              <w:spacing w:after="40" w:before="40"/>
            </w:pPr>
            <w:r/>
            <w:r>
              <w:rPr>
                <w:rFonts w:ascii="Calibri" w:hAnsi="Calibri"/>
                <w:b w:val="0"/>
                <w:color w:val="344054"/>
                <w:sz w:val="19"/>
              </w:rPr>
              <w:t>user_id, title, body, link, severity, read_at</w:t>
            </w:r>
          </w:p>
        </w:tc>
      </w:tr>
      <w:tr>
        <w:tc>
          <w:tcPr>
            <w:tcW w:type="dxa" w:w="1584"/>
          </w:tcPr>
          <w:p>
            <w:pPr>
              <w:spacing w:after="40" w:before="40"/>
            </w:pPr>
            <w:r/>
            <w:r>
              <w:rPr>
                <w:rFonts w:ascii="Calibri" w:hAnsi="Calibri"/>
                <w:b w:val="0"/>
                <w:color w:val="344054"/>
                <w:sz w:val="19"/>
              </w:rPr>
              <w:t>audit_log</w:t>
            </w:r>
          </w:p>
        </w:tc>
        <w:tc>
          <w:tcPr>
            <w:tcW w:type="dxa" w:w="3456"/>
          </w:tcPr>
          <w:p>
            <w:pPr>
              <w:spacing w:after="40" w:before="40"/>
            </w:pPr>
            <w:r/>
            <w:r>
              <w:rPr>
                <w:rFonts w:ascii="Calibri" w:hAnsi="Calibri"/>
                <w:b w:val="0"/>
                <w:color w:val="344054"/>
                <w:sz w:val="19"/>
              </w:rPr>
              <w:t>Append-only, hash-chained record of every state change</w:t>
            </w:r>
          </w:p>
        </w:tc>
        <w:tc>
          <w:tcPr>
            <w:tcW w:type="dxa" w:w="4608"/>
          </w:tcPr>
          <w:p>
            <w:pPr>
              <w:spacing w:after="40" w:before="40"/>
            </w:pPr>
            <w:r/>
            <w:r>
              <w:rPr>
                <w:rFonts w:ascii="Calibri" w:hAnsi="Calibri"/>
                <w:b w:val="0"/>
                <w:color w:val="344054"/>
                <w:sz w:val="19"/>
              </w:rPr>
              <w:t>actor_id, actor_role, action, entity_type, entity_id, meta (JSON), prev_hash, hash</w:t>
            </w:r>
          </w:p>
        </w:tc>
      </w:tr>
    </w:tbl>
    <w:p>
      <w:pPr>
        <w:spacing w:after="80"/>
      </w:pPr>
    </w:p>
    <w:p>
      <w:pPr>
        <w:pStyle w:val="Heading2"/>
      </w:pPr>
      <w:r>
        <w:t>7.4 Access layer</w:t>
      </w:r>
    </w:p>
    <w:p>
      <w:r>
        <w:t>server/src/db/index.js exposes all, get, run, insert, update and tx. Every call is parameterised. A bind normaliser converts booleans to integers and objects to JSON text, because node:sqlite binds only null, number, bigint, string and Uint8Array - which means a boolean passed by mistake fails loudly at the boundary rather than silently storing something unexpected. Multi-row writes go through tx so a partial failure leaves no orphaned record.</w:t>
      </w:r>
    </w:p>
    <w:p>
      <w:pPr>
        <w:pStyle w:val="Heading1"/>
      </w:pPr>
      <w:r>
        <w:t>8. Mechanism design</w:t>
      </w:r>
    </w:p>
    <w:p>
      <w:pPr>
        <w:pStyle w:val="Heading2"/>
      </w:pPr>
      <w:r>
        <w:t>8.1 Problem statement authoring and publication</w:t>
      </w:r>
    </w:p>
    <w:p>
      <w:r>
        <w:t>Authoring captures the outcome, not a specification. The form separates baseline from desired outcome and requires each KPI to carry a target, a unit and a direction of improvement, because direction is what makes attainment computable for a metric where lower is better. The API refuses a problem statement with an empty KPI array. On creation a file number of the form AVS/CH/YYYY/NNNN is issued and is carried by every downstream record.</w:t>
      </w:r>
    </w:p>
    <w:p>
      <w:r>
        <w:t>Publication is separated from authoring: the transition to PUBLISHED is refused with HTTP 403 unless the caller is a department head or platform administrator. On publication, eligible startups whose declared sector matches are notified, and the problem statement becomes visible without authentication.</w:t>
      </w:r>
    </w:p>
    <w:p>
      <w:pPr>
        <w:pStyle w:val="Heading2"/>
      </w:pPr>
      <w:r>
        <w:t>8.2 Eligibility and application</w:t>
      </w:r>
    </w:p>
    <w:p>
      <w:r>
        <w:t>The gate is two-part and both parts run at submission: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4320"/>
            <w:shd w:val="clear" w:fill="0B2447"/>
          </w:tcPr>
          <w:p>
            <w:pPr>
              <w:spacing w:after="40" w:before="40"/>
            </w:pPr>
            <w:r/>
            <w:r>
              <w:rPr>
                <w:rFonts w:ascii="Calibri" w:hAnsi="Calibri"/>
                <w:b/>
                <w:color w:val="FFFFFF"/>
                <w:sz w:val="19"/>
              </w:rPr>
              <w:t>Check</w:t>
            </w:r>
          </w:p>
        </w:tc>
        <w:tc>
          <w:tcPr>
            <w:tcW w:type="dxa" w:w="3456"/>
            <w:shd w:val="clear" w:fill="0B2447"/>
          </w:tcPr>
          <w:p>
            <w:pPr>
              <w:spacing w:after="40" w:before="40"/>
            </w:pPr>
            <w:r/>
            <w:r>
              <w:rPr>
                <w:rFonts w:ascii="Calibri" w:hAnsi="Calibri"/>
                <w:b/>
                <w:color w:val="FFFFFF"/>
                <w:sz w:val="19"/>
              </w:rPr>
              <w:t>Instrument</w:t>
            </w:r>
          </w:p>
        </w:tc>
        <w:tc>
          <w:tcPr>
            <w:tcW w:type="dxa" w:w="1872"/>
            <w:shd w:val="clear" w:fill="0B2447"/>
          </w:tcPr>
          <w:p>
            <w:pPr>
              <w:spacing w:after="40" w:before="40"/>
            </w:pPr>
            <w:r/>
            <w:r>
              <w:rPr>
                <w:rFonts w:ascii="Calibri" w:hAnsi="Calibri"/>
                <w:b/>
                <w:color w:val="FFFFFF"/>
                <w:sz w:val="19"/>
              </w:rPr>
              <w:t>Blocking</w:t>
            </w:r>
          </w:p>
        </w:tc>
      </w:tr>
      <w:tr>
        <w:tc>
          <w:tcPr>
            <w:tcW w:type="dxa" w:w="4320"/>
          </w:tcPr>
          <w:p>
            <w:pPr>
              <w:spacing w:after="40" w:before="40"/>
            </w:pPr>
            <w:r/>
            <w:r>
              <w:rPr>
                <w:rFonts w:ascii="Calibri" w:hAnsi="Calibri"/>
                <w:b w:val="0"/>
                <w:color w:val="344054"/>
                <w:sz w:val="19"/>
              </w:rPr>
              <w:t>DPIIT recognition on record</w:t>
            </w:r>
          </w:p>
        </w:tc>
        <w:tc>
          <w:tcPr>
            <w:tcW w:type="dxa" w:w="3456"/>
          </w:tcPr>
          <w:p>
            <w:pPr>
              <w:spacing w:after="40" w:before="40"/>
            </w:pPr>
            <w:r/>
            <w:r>
              <w:rPr>
                <w:rFonts w:ascii="Calibri" w:hAnsi="Calibri"/>
                <w:b w:val="0"/>
                <w:color w:val="344054"/>
                <w:sz w:val="19"/>
              </w:rPr>
              <w:t>DPIIT G.S.R. 127(E)</w:t>
            </w:r>
          </w:p>
        </w:tc>
        <w:tc>
          <w:tcPr>
            <w:tcW w:type="dxa" w:w="1872"/>
          </w:tcPr>
          <w:p>
            <w:pPr>
              <w:spacing w:after="40" w:before="40"/>
            </w:pPr>
            <w:r/>
            <w:r>
              <w:rPr>
                <w:rFonts w:ascii="Calibri" w:hAnsi="Calibri"/>
                <w:b w:val="0"/>
                <w:color w:val="344054"/>
                <w:sz w:val="19"/>
              </w:rPr>
              <w:t>Yes</w:t>
            </w:r>
          </w:p>
        </w:tc>
      </w:tr>
      <w:tr>
        <w:tc>
          <w:tcPr>
            <w:tcW w:type="dxa" w:w="4320"/>
            <w:shd w:val="clear" w:fill="F9FAFB"/>
          </w:tcPr>
          <w:p>
            <w:pPr>
              <w:spacing w:after="40" w:before="40"/>
            </w:pPr>
            <w:r/>
            <w:r>
              <w:rPr>
                <w:rFonts w:ascii="Calibri" w:hAnsi="Calibri"/>
                <w:b w:val="0"/>
                <w:color w:val="344054"/>
                <w:sz w:val="19"/>
              </w:rPr>
              <w:t>Recognition valid on the date of application</w:t>
            </w:r>
          </w:p>
        </w:tc>
        <w:tc>
          <w:tcPr>
            <w:tcW w:type="dxa" w:w="3456"/>
            <w:shd w:val="clear" w:fill="F9FAFB"/>
          </w:tcPr>
          <w:p>
            <w:pPr>
              <w:spacing w:after="40" w:before="40"/>
            </w:pPr>
            <w:r/>
            <w:r>
              <w:rPr>
                <w:rFonts w:ascii="Calibri" w:hAnsi="Calibri"/>
                <w:b w:val="0"/>
                <w:color w:val="344054"/>
                <w:sz w:val="19"/>
              </w:rPr>
              <w:t>DPIIT G.S.R. 127(E)</w:t>
            </w:r>
          </w:p>
        </w:tc>
        <w:tc>
          <w:tcPr>
            <w:tcW w:type="dxa" w:w="1872"/>
            <w:shd w:val="clear" w:fill="F9FAFB"/>
          </w:tcPr>
          <w:p>
            <w:pPr>
              <w:spacing w:after="40" w:before="40"/>
            </w:pPr>
            <w:r/>
            <w:r>
              <w:rPr>
                <w:rFonts w:ascii="Calibri" w:hAnsi="Calibri"/>
                <w:b w:val="0"/>
                <w:color w:val="344054"/>
                <w:sz w:val="19"/>
              </w:rPr>
              <w:t>Yes</w:t>
            </w:r>
          </w:p>
        </w:tc>
      </w:tr>
      <w:tr>
        <w:tc>
          <w:tcPr>
            <w:tcW w:type="dxa" w:w="4320"/>
          </w:tcPr>
          <w:p>
            <w:pPr>
              <w:spacing w:after="40" w:before="40"/>
            </w:pPr>
            <w:r/>
            <w:r>
              <w:rPr>
                <w:rFonts w:ascii="Calibri" w:hAnsi="Calibri"/>
                <w:b w:val="0"/>
                <w:color w:val="344054"/>
                <w:sz w:val="19"/>
              </w:rPr>
              <w:t>Incorporated within the last ten years</w:t>
            </w:r>
          </w:p>
        </w:tc>
        <w:tc>
          <w:tcPr>
            <w:tcW w:type="dxa" w:w="3456"/>
          </w:tcPr>
          <w:p>
            <w:pPr>
              <w:spacing w:after="40" w:before="40"/>
            </w:pPr>
            <w:r/>
            <w:r>
              <w:rPr>
                <w:rFonts w:ascii="Calibri" w:hAnsi="Calibri"/>
                <w:b w:val="0"/>
                <w:color w:val="344054"/>
                <w:sz w:val="19"/>
              </w:rPr>
              <w:t>G.S.R. 127(E) para 1(i)</w:t>
            </w:r>
          </w:p>
        </w:tc>
        <w:tc>
          <w:tcPr>
            <w:tcW w:type="dxa" w:w="1872"/>
          </w:tcPr>
          <w:p>
            <w:pPr>
              <w:spacing w:after="40" w:before="40"/>
            </w:pPr>
            <w:r/>
            <w:r>
              <w:rPr>
                <w:rFonts w:ascii="Calibri" w:hAnsi="Calibri"/>
                <w:b w:val="0"/>
                <w:color w:val="344054"/>
                <w:sz w:val="19"/>
              </w:rPr>
              <w:t>Yes</w:t>
            </w:r>
          </w:p>
        </w:tc>
      </w:tr>
      <w:tr>
        <w:tc>
          <w:tcPr>
            <w:tcW w:type="dxa" w:w="4320"/>
            <w:shd w:val="clear" w:fill="F9FAFB"/>
          </w:tcPr>
          <w:p>
            <w:pPr>
              <w:spacing w:after="40" w:before="40"/>
            </w:pPr>
            <w:r/>
            <w:r>
              <w:rPr>
                <w:rFonts w:ascii="Calibri" w:hAnsi="Calibri"/>
                <w:b w:val="0"/>
                <w:color w:val="344054"/>
                <w:sz w:val="19"/>
              </w:rPr>
              <w:t>Turnover never above INR 100 crore in any financial year</w:t>
            </w:r>
          </w:p>
        </w:tc>
        <w:tc>
          <w:tcPr>
            <w:tcW w:type="dxa" w:w="3456"/>
            <w:shd w:val="clear" w:fill="F9FAFB"/>
          </w:tcPr>
          <w:p>
            <w:pPr>
              <w:spacing w:after="40" w:before="40"/>
            </w:pPr>
            <w:r/>
            <w:r>
              <w:rPr>
                <w:rFonts w:ascii="Calibri" w:hAnsi="Calibri"/>
                <w:b w:val="0"/>
                <w:color w:val="344054"/>
                <w:sz w:val="19"/>
              </w:rPr>
              <w:t>G.S.R. 127(E) para 1(ii)</w:t>
            </w:r>
          </w:p>
        </w:tc>
        <w:tc>
          <w:tcPr>
            <w:tcW w:type="dxa" w:w="1872"/>
            <w:shd w:val="clear" w:fill="F9FAFB"/>
          </w:tcPr>
          <w:p>
            <w:pPr>
              <w:spacing w:after="40" w:before="40"/>
            </w:pPr>
            <w:r/>
            <w:r>
              <w:rPr>
                <w:rFonts w:ascii="Calibri" w:hAnsi="Calibri"/>
                <w:b w:val="0"/>
                <w:color w:val="344054"/>
                <w:sz w:val="19"/>
              </w:rPr>
              <w:t>Yes</w:t>
            </w:r>
          </w:p>
        </w:tc>
      </w:tr>
      <w:tr>
        <w:tc>
          <w:tcPr>
            <w:tcW w:type="dxa" w:w="4320"/>
          </w:tcPr>
          <w:p>
            <w:pPr>
              <w:spacing w:after="40" w:before="40"/>
            </w:pPr>
            <w:r/>
            <w:r>
              <w:rPr>
                <w:rFonts w:ascii="Calibri" w:hAnsi="Calibri"/>
                <w:b w:val="0"/>
                <w:color w:val="344054"/>
                <w:sz w:val="19"/>
              </w:rPr>
              <w:t>Not formed by splitting up or reconstruction</w:t>
            </w:r>
          </w:p>
        </w:tc>
        <w:tc>
          <w:tcPr>
            <w:tcW w:type="dxa" w:w="3456"/>
          </w:tcPr>
          <w:p>
            <w:pPr>
              <w:spacing w:after="40" w:before="40"/>
            </w:pPr>
            <w:r/>
            <w:r>
              <w:rPr>
                <w:rFonts w:ascii="Calibri" w:hAnsi="Calibri"/>
                <w:b w:val="0"/>
                <w:color w:val="344054"/>
                <w:sz w:val="19"/>
              </w:rPr>
              <w:t>G.S.R. 127(E) para 1(iv)</w:t>
            </w:r>
          </w:p>
        </w:tc>
        <w:tc>
          <w:tcPr>
            <w:tcW w:type="dxa" w:w="1872"/>
          </w:tcPr>
          <w:p>
            <w:pPr>
              <w:spacing w:after="40" w:before="40"/>
            </w:pPr>
            <w:r/>
            <w:r>
              <w:rPr>
                <w:rFonts w:ascii="Calibri" w:hAnsi="Calibri"/>
                <w:b w:val="0"/>
                <w:color w:val="344054"/>
                <w:sz w:val="19"/>
              </w:rPr>
              <w:t>Yes</w:t>
            </w:r>
          </w:p>
        </w:tc>
      </w:tr>
      <w:tr>
        <w:tc>
          <w:tcPr>
            <w:tcW w:type="dxa" w:w="4320"/>
            <w:shd w:val="clear" w:fill="F9FAFB"/>
          </w:tcPr>
          <w:p>
            <w:pPr>
              <w:spacing w:after="40" w:before="40"/>
            </w:pPr>
            <w:r/>
            <w:r>
              <w:rPr>
                <w:rFonts w:ascii="Calibri" w:hAnsi="Calibri"/>
                <w:b w:val="0"/>
                <w:color w:val="344054"/>
                <w:sz w:val="19"/>
              </w:rPr>
              <w:t>Private Limited, LLP or Registered Partnership</w:t>
            </w:r>
          </w:p>
        </w:tc>
        <w:tc>
          <w:tcPr>
            <w:tcW w:type="dxa" w:w="3456"/>
            <w:shd w:val="clear" w:fill="F9FAFB"/>
          </w:tcPr>
          <w:p>
            <w:pPr>
              <w:spacing w:after="40" w:before="40"/>
            </w:pPr>
            <w:r/>
            <w:r>
              <w:rPr>
                <w:rFonts w:ascii="Calibri" w:hAnsi="Calibri"/>
                <w:b w:val="0"/>
                <w:color w:val="344054"/>
                <w:sz w:val="19"/>
              </w:rPr>
              <w:t>G.S.R. 127(E) para 1(iii)</w:t>
            </w:r>
          </w:p>
        </w:tc>
        <w:tc>
          <w:tcPr>
            <w:tcW w:type="dxa" w:w="1872"/>
            <w:shd w:val="clear" w:fill="F9FAFB"/>
          </w:tcPr>
          <w:p>
            <w:pPr>
              <w:spacing w:after="40" w:before="40"/>
            </w:pPr>
            <w:r/>
            <w:r>
              <w:rPr>
                <w:rFonts w:ascii="Calibri" w:hAnsi="Calibri"/>
                <w:b w:val="0"/>
                <w:color w:val="344054"/>
                <w:sz w:val="19"/>
              </w:rPr>
              <w:t>Yes</w:t>
            </w:r>
          </w:p>
        </w:tc>
      </w:tr>
      <w:tr>
        <w:tc>
          <w:tcPr>
            <w:tcW w:type="dxa" w:w="4320"/>
          </w:tcPr>
          <w:p>
            <w:pPr>
              <w:spacing w:after="40" w:before="40"/>
            </w:pPr>
            <w:r/>
            <w:r>
              <w:rPr>
                <w:rFonts w:ascii="Calibri" w:hAnsi="Calibri"/>
                <w:b w:val="0"/>
                <w:color w:val="344054"/>
                <w:sz w:val="19"/>
              </w:rPr>
              <w:t>CIN, GSTIN and Udyam verification complete</w:t>
            </w:r>
          </w:p>
        </w:tc>
        <w:tc>
          <w:tcPr>
            <w:tcW w:type="dxa" w:w="3456"/>
          </w:tcPr>
          <w:p>
            <w:pPr>
              <w:spacing w:after="40" w:before="40"/>
            </w:pPr>
            <w:r/>
            <w:r>
              <w:rPr>
                <w:rFonts w:ascii="Calibri" w:hAnsi="Calibri"/>
                <w:b w:val="0"/>
                <w:color w:val="344054"/>
                <w:sz w:val="19"/>
              </w:rPr>
              <w:t>Platform onboarding control</w:t>
            </w:r>
          </w:p>
        </w:tc>
        <w:tc>
          <w:tcPr>
            <w:tcW w:type="dxa" w:w="1872"/>
          </w:tcPr>
          <w:p>
            <w:pPr>
              <w:spacing w:after="40" w:before="40"/>
            </w:pPr>
            <w:r/>
            <w:r>
              <w:rPr>
                <w:rFonts w:ascii="Calibri" w:hAnsi="Calibri"/>
                <w:b w:val="0"/>
                <w:color w:val="344054"/>
                <w:sz w:val="19"/>
              </w:rPr>
              <w:t>No - advisory</w:t>
            </w:r>
          </w:p>
        </w:tc>
      </w:tr>
      <w:tr>
        <w:tc>
          <w:tcPr>
            <w:tcW w:type="dxa" w:w="4320"/>
            <w:shd w:val="clear" w:fill="F9FAFB"/>
          </w:tcPr>
          <w:p>
            <w:pPr>
              <w:spacing w:after="40" w:before="40"/>
            </w:pPr>
            <w:r/>
            <w:r>
              <w:rPr>
                <w:rFonts w:ascii="Calibri" w:hAnsi="Calibri"/>
                <w:b w:val="0"/>
                <w:color w:val="344054"/>
                <w:sz w:val="19"/>
              </w:rPr>
              <w:t>Claimed readiness at or above the declared floor</w:t>
            </w:r>
          </w:p>
        </w:tc>
        <w:tc>
          <w:tcPr>
            <w:tcW w:type="dxa" w:w="3456"/>
            <w:shd w:val="clear" w:fill="F9FAFB"/>
          </w:tcPr>
          <w:p>
            <w:pPr>
              <w:spacing w:after="40" w:before="40"/>
            </w:pPr>
            <w:r/>
            <w:r>
              <w:rPr>
                <w:rFonts w:ascii="Calibri" w:hAnsi="Calibri"/>
                <w:b w:val="0"/>
                <w:color w:val="344054"/>
                <w:sz w:val="19"/>
              </w:rPr>
              <w:t>Challenge fit</w:t>
            </w:r>
          </w:p>
        </w:tc>
        <w:tc>
          <w:tcPr>
            <w:tcW w:type="dxa" w:w="1872"/>
            <w:shd w:val="clear" w:fill="F9FAFB"/>
          </w:tcPr>
          <w:p>
            <w:pPr>
              <w:spacing w:after="40" w:before="40"/>
            </w:pPr>
            <w:r/>
            <w:r>
              <w:rPr>
                <w:rFonts w:ascii="Calibri" w:hAnsi="Calibri"/>
                <w:b w:val="0"/>
                <w:color w:val="344054"/>
                <w:sz w:val="19"/>
              </w:rPr>
              <w:t>Yes</w:t>
            </w:r>
          </w:p>
        </w:tc>
      </w:tr>
      <w:tr>
        <w:tc>
          <w:tcPr>
            <w:tcW w:type="dxa" w:w="4320"/>
          </w:tcPr>
          <w:p>
            <w:pPr>
              <w:spacing w:after="40" w:before="40"/>
            </w:pPr>
            <w:r/>
            <w:r>
              <w:rPr>
                <w:rFonts w:ascii="Calibri" w:hAnsi="Calibri"/>
                <w:b w:val="0"/>
                <w:color w:val="344054"/>
                <w:sz w:val="19"/>
              </w:rPr>
              <w:t>Quoted cost within the published ceiling</w:t>
            </w:r>
          </w:p>
        </w:tc>
        <w:tc>
          <w:tcPr>
            <w:tcW w:type="dxa" w:w="3456"/>
          </w:tcPr>
          <w:p>
            <w:pPr>
              <w:spacing w:after="40" w:before="40"/>
            </w:pPr>
            <w:r/>
            <w:r>
              <w:rPr>
                <w:rFonts w:ascii="Calibri" w:hAnsi="Calibri"/>
                <w:b w:val="0"/>
                <w:color w:val="344054"/>
                <w:sz w:val="19"/>
              </w:rPr>
              <w:t>Challenge fit</w:t>
            </w:r>
          </w:p>
        </w:tc>
        <w:tc>
          <w:tcPr>
            <w:tcW w:type="dxa" w:w="1872"/>
          </w:tcPr>
          <w:p>
            <w:pPr>
              <w:spacing w:after="40" w:before="40"/>
            </w:pPr>
            <w:r/>
            <w:r>
              <w:rPr>
                <w:rFonts w:ascii="Calibri" w:hAnsi="Calibri"/>
                <w:b w:val="0"/>
                <w:color w:val="344054"/>
                <w:sz w:val="19"/>
              </w:rPr>
              <w:t>Yes</w:t>
            </w:r>
          </w:p>
        </w:tc>
      </w:tr>
      <w:tr>
        <w:tc>
          <w:tcPr>
            <w:tcW w:type="dxa" w:w="4320"/>
            <w:shd w:val="clear" w:fill="F9FAFB"/>
          </w:tcPr>
          <w:p>
            <w:pPr>
              <w:spacing w:after="40" w:before="40"/>
            </w:pPr>
            <w:r/>
            <w:r>
              <w:rPr>
                <w:rFonts w:ascii="Calibri" w:hAnsi="Calibri"/>
                <w:b w:val="0"/>
                <w:color w:val="344054"/>
                <w:sz w:val="19"/>
              </w:rPr>
              <w:t>Proposed timeline within the pilot window</w:t>
            </w:r>
          </w:p>
        </w:tc>
        <w:tc>
          <w:tcPr>
            <w:tcW w:type="dxa" w:w="3456"/>
            <w:shd w:val="clear" w:fill="F9FAFB"/>
          </w:tcPr>
          <w:p>
            <w:pPr>
              <w:spacing w:after="40" w:before="40"/>
            </w:pPr>
            <w:r/>
            <w:r>
              <w:rPr>
                <w:rFonts w:ascii="Calibri" w:hAnsi="Calibri"/>
                <w:b w:val="0"/>
                <w:color w:val="344054"/>
                <w:sz w:val="19"/>
              </w:rPr>
              <w:t>Challenge fit</w:t>
            </w:r>
          </w:p>
        </w:tc>
        <w:tc>
          <w:tcPr>
            <w:tcW w:type="dxa" w:w="1872"/>
            <w:shd w:val="clear" w:fill="F9FAFB"/>
          </w:tcPr>
          <w:p>
            <w:pPr>
              <w:spacing w:after="40" w:before="40"/>
            </w:pPr>
            <w:r/>
            <w:r>
              <w:rPr>
                <w:rFonts w:ascii="Calibri" w:hAnsi="Calibri"/>
                <w:b w:val="0"/>
                <w:color w:val="344054"/>
                <w:sz w:val="19"/>
              </w:rPr>
              <w:t>Yes</w:t>
            </w:r>
          </w:p>
        </w:tc>
      </w:tr>
    </w:tbl>
    <w:p>
      <w:pPr>
        <w:spacing w:after="80"/>
      </w:pPr>
    </w:p>
    <w:p>
      <w:r>
        <w:t>Each check returns a structured record carrying its code, label, the instrument it derives from, whether it is blocking, the verdict and a human-readable detail. The whole verdict is frozen onto the application as a JSON snapshot at submission, so a later profile edit cannot retrospectively change the basis on which an application was decided. That property is what makes the decision auditable.</w:t>
      </w:r>
    </w:p>
    <w:tbl>
      <w:tblPr>
        <w:tblStyle w:val="TableGrid"/>
        <w:tblW w:type="auto" w:w="0"/>
        <w:tblLook w:firstColumn="1" w:firstRow="1" w:lastColumn="0" w:lastRow="0" w:noHBand="0" w:noVBand="1" w:val="04A0"/>
      </w:tblPr>
      <w:tblGrid>
        <w:gridCol w:w="9360"/>
      </w:tblGrid>
      <w:tr>
        <w:tc>
          <w:tcPr>
            <w:tcW w:type="dxa" w:w="9360"/>
            <w:shd w:val="clear" w:fill="F2F4F7"/>
          </w:tcPr>
          <w:p>
            <w:r/>
            <w:r>
              <w:rPr>
                <w:b/>
                <w:color w:val="0B2447"/>
                <w:sz w:val="19"/>
              </w:rPr>
              <w:t xml:space="preserve">Relaxations:  </w:t>
            </w:r>
            <w:r>
              <w:rPr>
                <w:color w:val="344054"/>
                <w:sz w:val="19"/>
              </w:rPr>
              <w:t>An eligible applicant automatically receives the prior-turnover waiver, the prior-experience waiver, EMD exemption, tender-fee exemption and the forty-five-day payment undertaking, each recorded with its authority. Nothing has to be claimed.</w:t>
            </w:r>
          </w:p>
        </w:tc>
      </w:tr>
    </w:tbl>
    <w:p>
      <w:pPr>
        <w:spacing w:after="80"/>
      </w:pPr>
    </w:p>
    <w:p>
      <w:pPr>
        <w:pStyle w:val="Heading2"/>
      </w:pPr>
      <w:r>
        <w:t>8.3 Evaluation</w:t>
      </w:r>
    </w:p>
    <w:p>
      <w:r>
        <w:t>Two envelopes: technical capped at 70 and commercial at 30. Nine criteria carry a maximum score and a weight; the weighted sum is normalised to its bucket cap, so criteria can be re-tuned without disturbing the 70/30 split. A technical score below 45 disqualifies regardless of price, which prevents cheapness buying past a technical failure.</w:t>
      </w:r>
    </w:p>
    <w:p>
      <w:r>
        <w:t>Four integrity controls sit around the scoring itself:</w:t>
      </w:r>
    </w:p>
    <w:p>
      <w:pPr>
        <w:pStyle w:val="ListBullet"/>
        <w:spacing w:after="60"/>
      </w:pPr>
      <w:r>
        <w:t>A conflict-of-interest declaration is a precondition; the API returns 400 without it.</w:t>
      </w:r>
    </w:p>
    <w:p>
      <w:pPr>
        <w:pStyle w:val="ListBullet"/>
        <w:spacing w:after="60"/>
      </w:pPr>
      <w:r>
        <w:t>The first pass is blind: the evaluator's worklist withholds applicant identity until their own score is submitted.</w:t>
      </w:r>
    </w:p>
    <w:p>
      <w:pPr>
        <w:pStyle w:val="ListBullet"/>
        <w:spacing w:after="60"/>
      </w:pPr>
      <w:r>
        <w:t>A submitted score is immutable; a second submission returns 409.</w:t>
      </w:r>
    </w:p>
    <w:p>
      <w:pPr>
        <w:pStyle w:val="ListBullet"/>
        <w:spacing w:after="60"/>
      </w:pPr>
      <w:r>
        <w:t>Committee dispersion above twenty marks raises a flag and notifies the department, requiring a reconciliation sitting before a shortlist.</w:t>
      </w:r>
    </w:p>
    <w:p>
      <w:pPr>
        <w:pStyle w:val="Heading2"/>
      </w:pPr>
      <w:r>
        <w:t>8.4 File numbering</w:t>
      </w:r>
    </w:p>
    <w:p>
      <w:r>
        <w:t>AVS/&lt;type&gt;/&lt;year&gt;/&lt;sequence&gt;, with the sequence allocated per table per calendar year by reading the highest existing code for that prefix. Types are CH challenge, AP application, PL pilot, PR procurement, CT catalogue and GR grievance. The format is chosen so an officer can quote it on paper.</w:t>
      </w:r>
    </w:p>
    <w:p>
      <w:pPr>
        <w:pStyle w:val="Heading2"/>
      </w:pPr>
      <w:r>
        <w:t>8.5 Transparency board</w:t>
      </w:r>
    </w:p>
    <w:p>
      <w:r>
        <w:t>Every figure is computed from the transactional tables at request time, not from a reporting copy, so the board cannot silently diverge from the record. It publishes the conversion funnel including pilots that failed, application-to-pilot and pilot-to-procurement conversion, sector and department distribution, payment SLA performance including breaches, and median cycle time at each handoff against a conventional-tender benchmark. Medians are used rather than means so that a single slow case does not distort the figure.</w:t>
      </w:r>
    </w:p>
    <w:p>
      <w:pPr>
        <w:pStyle w:val="Heading2"/>
      </w:pPr>
      <w:r>
        <w:t>8.6 Notification</w:t>
      </w:r>
    </w:p>
    <w:p>
      <w:r>
        <w:t>In-app only, written in the same request as the state change that caused it, addressed to the affected party and to the department officers who must act. Severity is INFO, SUCCESS or WARNING and drives presentation only.</w:t>
      </w:r>
    </w:p>
    <w:p>
      <w:pPr>
        <w:pStyle w:val="Heading2"/>
      </w:pPr>
      <w:r>
        <w:t>8.7 Discovery and matching</w:t>
      </w:r>
    </w:p>
    <w:p>
      <w:r>
        <w:t>One hundred points across five factors: sector alignment 30, capability tag overlap 30, readiness above the declared floor 20, prior public-sector delivery 10, geography 10. Each factor returns its point award and a note explaining it.</w:t>
      </w:r>
    </w:p>
    <w:tbl>
      <w:tblPr>
        <w:tblStyle w:val="TableGrid"/>
        <w:tblW w:type="auto" w:w="0"/>
        <w:tblLook w:firstColumn="1" w:firstRow="1" w:lastColumn="0" w:lastRow="0" w:noHBand="0" w:noVBand="1" w:val="04A0"/>
      </w:tblPr>
      <w:tblGrid>
        <w:gridCol w:w="9360"/>
      </w:tblGrid>
      <w:tr>
        <w:tc>
          <w:tcPr>
            <w:tcW w:type="dxa" w:w="9360"/>
            <w:shd w:val="clear" w:fill="F2F4F7"/>
          </w:tcPr>
          <w:p>
            <w:r/>
            <w:r>
              <w:rPr>
                <w:b/>
                <w:color w:val="0B2447"/>
                <w:sz w:val="19"/>
              </w:rPr>
              <w:t xml:space="preserve">Design constraint:  </w:t>
            </w:r>
            <w:r>
              <w:rPr>
                <w:color w:val="344054"/>
                <w:sz w:val="19"/>
              </w:rPr>
              <w:t>Prior public-sector delivery contributes points but is never a gate. GFR 2017 Rule 173(i) waives prior experience as a qualification requirement, so treating it as one would defeat the purpose of the mechanism. A first-time supplier is labelled as such in the interface rather than penalised.</w:t>
            </w:r>
          </w:p>
        </w:tc>
      </w:tr>
    </w:tbl>
    <w:p>
      <w:pPr>
        <w:spacing w:after="80"/>
      </w:pPr>
    </w:p>
    <w:p>
      <w:pPr>
        <w:pStyle w:val="Heading2"/>
      </w:pPr>
      <w:r>
        <w:t>8.8 Pilot</w:t>
      </w:r>
    </w:p>
    <w:p>
      <w:r>
        <w:t>Creation validates the sanctioned amount against the published ceiling and requires milestone payouts to sum to exactly one hundred per cent. Activation is blocked with HTTP 412 until the DPDP data processing agreement is recorded. A startup may only accept the agreement; every other transition belongs to the department, and the closure verdict is reserved to the pilot monitor or department head.</w:t>
      </w:r>
    </w:p>
    <w:p>
      <w:r>
        <w:t>The scorecard computes attainment per KPI from the latest reading, honouring direction: for an upward metric it is actual over target, for a downward metric target over actual. Attainment is clamped to a sensible range so a wildly better-than-target reading does not distort the display.</w:t>
      </w:r>
    </w:p>
    <w:p>
      <w:pPr>
        <w:pStyle w:val="Heading2"/>
      </w:pPr>
      <w:r>
        <w:t>8.9 Payments and the statutory clock</w:t>
      </w:r>
    </w:p>
    <w:p>
      <w:r>
        <w:t>Milestone acceptance writes a payment row with a due date forty-five days out, per section 15 of the MSMED Act 2006. Overdue status is computed at read time against the current date rather than stored, so a ledger is never stale. The ledger is visible to both the department and the supplier, and breaches are counted on the public board.</w:t>
      </w:r>
    </w:p>
    <w:p>
      <w:pPr>
        <w:pStyle w:val="Heading2"/>
      </w:pPr>
      <w:r>
        <w:t>8.10 Procurement</w:t>
      </w:r>
    </w:p>
    <w:p>
      <w:r>
        <w:t>Creation is refused with HTTP 412 unless the linked pilot carries a SUCCESS or PARTIAL verdict. The mode determines the rule printed on the face of the record:</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016"/>
            <w:shd w:val="clear" w:fill="0B2447"/>
          </w:tcPr>
          <w:p>
            <w:pPr>
              <w:spacing w:after="40" w:before="40"/>
            </w:pPr>
            <w:r/>
            <w:r>
              <w:rPr>
                <w:rFonts w:ascii="Calibri" w:hAnsi="Calibri"/>
                <w:b/>
                <w:color w:val="FFFFFF"/>
                <w:sz w:val="19"/>
              </w:rPr>
              <w:t>Mode</w:t>
            </w:r>
          </w:p>
        </w:tc>
        <w:tc>
          <w:tcPr>
            <w:tcW w:type="dxa" w:w="2448"/>
            <w:shd w:val="clear" w:fill="0B2447"/>
          </w:tcPr>
          <w:p>
            <w:pPr>
              <w:spacing w:after="40" w:before="40"/>
            </w:pPr>
            <w:r/>
            <w:r>
              <w:rPr>
                <w:rFonts w:ascii="Calibri" w:hAnsi="Calibri"/>
                <w:b/>
                <w:color w:val="FFFFFF"/>
                <w:sz w:val="19"/>
              </w:rPr>
              <w:t>Rule</w:t>
            </w:r>
          </w:p>
        </w:tc>
        <w:tc>
          <w:tcPr>
            <w:tcW w:type="dxa" w:w="5184"/>
            <w:shd w:val="clear" w:fill="0B2447"/>
          </w:tcPr>
          <w:p>
            <w:pPr>
              <w:spacing w:after="40" w:before="40"/>
            </w:pPr>
            <w:r/>
            <w:r>
              <w:rPr>
                <w:rFonts w:ascii="Calibri" w:hAnsi="Calibri"/>
                <w:b/>
                <w:color w:val="FFFFFF"/>
                <w:sz w:val="19"/>
              </w:rPr>
              <w:t>When</w:t>
            </w:r>
          </w:p>
        </w:tc>
      </w:tr>
      <w:tr>
        <w:tc>
          <w:tcPr>
            <w:tcW w:type="dxa" w:w="2016"/>
          </w:tcPr>
          <w:p>
            <w:pPr>
              <w:spacing w:after="40" w:before="40"/>
            </w:pPr>
            <w:r/>
            <w:r>
              <w:rPr>
                <w:rFonts w:ascii="Calibri" w:hAnsi="Calibri"/>
                <w:b w:val="0"/>
                <w:color w:val="344054"/>
                <w:sz w:val="19"/>
              </w:rPr>
              <w:t>SINGLE_SOURCE</w:t>
            </w:r>
          </w:p>
        </w:tc>
        <w:tc>
          <w:tcPr>
            <w:tcW w:type="dxa" w:w="2448"/>
          </w:tcPr>
          <w:p>
            <w:pPr>
              <w:spacing w:after="40" w:before="40"/>
            </w:pPr>
            <w:r/>
            <w:r>
              <w:rPr>
                <w:rFonts w:ascii="Calibri" w:hAnsi="Calibri"/>
                <w:b w:val="0"/>
                <w:color w:val="344054"/>
                <w:sz w:val="19"/>
              </w:rPr>
              <w:t>GFR 2017 R.166 with R.173(i)</w:t>
            </w:r>
          </w:p>
        </w:tc>
        <w:tc>
          <w:tcPr>
            <w:tcW w:type="dxa" w:w="5184"/>
          </w:tcPr>
          <w:p>
            <w:pPr>
              <w:spacing w:after="40" w:before="40"/>
            </w:pPr>
            <w:r/>
            <w:r>
              <w:rPr>
                <w:rFonts w:ascii="Calibri" w:hAnsi="Calibri"/>
                <w:b w:val="0"/>
                <w:color w:val="344054"/>
                <w:sz w:val="19"/>
              </w:rPr>
              <w:t>The pilot established that only this solution meets the declared KPIs</w:t>
            </w:r>
          </w:p>
        </w:tc>
      </w:tr>
      <w:tr>
        <w:tc>
          <w:tcPr>
            <w:tcW w:type="dxa" w:w="2016"/>
            <w:shd w:val="clear" w:fill="F9FAFB"/>
          </w:tcPr>
          <w:p>
            <w:pPr>
              <w:spacing w:after="40" w:before="40"/>
            </w:pPr>
            <w:r/>
            <w:r>
              <w:rPr>
                <w:rFonts w:ascii="Calibri" w:hAnsi="Calibri"/>
                <w:b w:val="0"/>
                <w:color w:val="344054"/>
                <w:sz w:val="19"/>
              </w:rPr>
              <w:t>LIMITED_TENDER</w:t>
            </w:r>
          </w:p>
        </w:tc>
        <w:tc>
          <w:tcPr>
            <w:tcW w:type="dxa" w:w="2448"/>
            <w:shd w:val="clear" w:fill="F9FAFB"/>
          </w:tcPr>
          <w:p>
            <w:pPr>
              <w:spacing w:after="40" w:before="40"/>
            </w:pPr>
            <w:r/>
            <w:r>
              <w:rPr>
                <w:rFonts w:ascii="Calibri" w:hAnsi="Calibri"/>
                <w:b w:val="0"/>
                <w:color w:val="344054"/>
                <w:sz w:val="19"/>
              </w:rPr>
              <w:t>GFR 2017 R.162</w:t>
            </w:r>
          </w:p>
        </w:tc>
        <w:tc>
          <w:tcPr>
            <w:tcW w:type="dxa" w:w="5184"/>
            <w:shd w:val="clear" w:fill="F9FAFB"/>
          </w:tcPr>
          <w:p>
            <w:pPr>
              <w:spacing w:after="40" w:before="40"/>
            </w:pPr>
            <w:r/>
            <w:r>
              <w:rPr>
                <w:rFonts w:ascii="Calibri" w:hAnsi="Calibri"/>
                <w:b w:val="0"/>
                <w:color w:val="344054"/>
                <w:sz w:val="19"/>
              </w:rPr>
              <w:t>More than one pilot cleared the KPI gate; price discovery is required</w:t>
            </w:r>
          </w:p>
        </w:tc>
      </w:tr>
      <w:tr>
        <w:tc>
          <w:tcPr>
            <w:tcW w:type="dxa" w:w="2016"/>
          </w:tcPr>
          <w:p>
            <w:pPr>
              <w:spacing w:after="40" w:before="40"/>
            </w:pPr>
            <w:r/>
            <w:r>
              <w:rPr>
                <w:rFonts w:ascii="Calibri" w:hAnsi="Calibri"/>
                <w:b w:val="0"/>
                <w:color w:val="344054"/>
                <w:sz w:val="19"/>
              </w:rPr>
              <w:t>GEM_DIRECT</w:t>
            </w:r>
          </w:p>
        </w:tc>
        <w:tc>
          <w:tcPr>
            <w:tcW w:type="dxa" w:w="2448"/>
          </w:tcPr>
          <w:p>
            <w:pPr>
              <w:spacing w:after="40" w:before="40"/>
            </w:pPr>
            <w:r/>
            <w:r>
              <w:rPr>
                <w:rFonts w:ascii="Calibri" w:hAnsi="Calibri"/>
                <w:b w:val="0"/>
                <w:color w:val="344054"/>
                <w:sz w:val="19"/>
              </w:rPr>
              <w:t>GFR 2017 R.149</w:t>
            </w:r>
          </w:p>
        </w:tc>
        <w:tc>
          <w:tcPr>
            <w:tcW w:type="dxa" w:w="5184"/>
          </w:tcPr>
          <w:p>
            <w:pPr>
              <w:spacing w:after="40" w:before="40"/>
            </w:pPr>
            <w:r/>
            <w:r>
              <w:rPr>
                <w:rFonts w:ascii="Calibri" w:hAnsi="Calibri"/>
                <w:b w:val="0"/>
                <w:color w:val="344054"/>
                <w:sz w:val="19"/>
              </w:rPr>
              <w:t>The solution is listed on GeM under the startup category</w:t>
            </w:r>
          </w:p>
        </w:tc>
      </w:tr>
      <w:tr>
        <w:tc>
          <w:tcPr>
            <w:tcW w:type="dxa" w:w="2016"/>
            <w:shd w:val="clear" w:fill="F9FAFB"/>
          </w:tcPr>
          <w:p>
            <w:pPr>
              <w:spacing w:after="40" w:before="40"/>
            </w:pPr>
            <w:r/>
            <w:r>
              <w:rPr>
                <w:rFonts w:ascii="Calibri" w:hAnsi="Calibri"/>
                <w:b w:val="0"/>
                <w:color w:val="344054"/>
                <w:sz w:val="19"/>
              </w:rPr>
              <w:t>RATE_CONTRACT</w:t>
            </w:r>
          </w:p>
        </w:tc>
        <w:tc>
          <w:tcPr>
            <w:tcW w:type="dxa" w:w="2448"/>
            <w:shd w:val="clear" w:fill="F9FAFB"/>
          </w:tcPr>
          <w:p>
            <w:pPr>
              <w:spacing w:after="40" w:before="40"/>
            </w:pPr>
            <w:r/>
            <w:r>
              <w:rPr>
                <w:rFonts w:ascii="Calibri" w:hAnsi="Calibri"/>
                <w:b w:val="0"/>
                <w:color w:val="344054"/>
                <w:sz w:val="19"/>
              </w:rPr>
              <w:t>GFR 2017 R.145</w:t>
            </w:r>
          </w:p>
        </w:tc>
        <w:tc>
          <w:tcPr>
            <w:tcW w:type="dxa" w:w="5184"/>
            <w:shd w:val="clear" w:fill="F9FAFB"/>
          </w:tcPr>
          <w:p>
            <w:pPr>
              <w:spacing w:after="40" w:before="40"/>
            </w:pPr>
            <w:r/>
            <w:r>
              <w:rPr>
                <w:rFonts w:ascii="Calibri" w:hAnsi="Calibri"/>
                <w:b w:val="0"/>
                <w:color w:val="344054"/>
                <w:sz w:val="19"/>
              </w:rPr>
              <w:t>Price and terms fixed once for multi-department draw-down</w:t>
            </w:r>
          </w:p>
        </w:tc>
      </w:tr>
    </w:tbl>
    <w:p>
      <w:pPr>
        <w:spacing w:after="80"/>
      </w:pPr>
    </w:p>
    <w:p>
      <w:r>
        <w:t>A written justification of at least fifty characters is mandatory and is written to the audit record. Sanction is reserved to the department head: a procurement officer may prepare but not approve. Purchase order issue generates a number and raises an advance payment.</w:t>
      </w:r>
    </w:p>
    <w:p>
      <w:pPr>
        <w:pStyle w:val="Heading2"/>
      </w:pPr>
      <w:r>
        <w:t>8.11 Proven Solutions Registry</w:t>
      </w:r>
    </w:p>
    <w:p>
      <w:r>
        <w:t>A live or completed contract may be listed, and the listing carries the measured pilot KPIs so a second department sees evidence rather than a claim. Adoption is a single action that records quantity, value and the drawing department; the response names the three stages skipped. Adoption is refused once the rate contract validity has lapsed.</w:t>
      </w:r>
    </w:p>
    <w:p>
      <w:pPr>
        <w:pStyle w:val="Heading2"/>
      </w:pPr>
      <w:r>
        <w:t>8.12 Grievance and administration</w:t>
      </w:r>
    </w:p>
    <w:p>
      <w:r>
        <w:t>Five categories - eligibility, evaluation, payment delay, scope and other - each with a fifteen-day SLA computed at creation and an overdue flag computed at read time. Resolution requires written text visible to the person who raised it. Administration covers account suspension and reinstatement, KYC verification and audit-chain re-verification; it deliberately excludes any ability to score, approve or sanction on a department's behalf.</w:t>
      </w:r>
    </w:p>
    <w:p>
      <w:pPr>
        <w:pStyle w:val="Heading2"/>
      </w:pPr>
      <w:r>
        <w:t>8.13 Workflow state machines</w:t>
      </w:r>
    </w:p>
    <w:p>
      <w:r>
        <w:t>Four state machines are declared as adjacency maps in one module, with a single assertTransition guard used by every route. An illegal transition returns HTTP 409 before any write occurs.</w:t>
      </w:r>
    </w:p>
    <w:tbl>
      <w:tblPr>
        <w:tblStyle w:val="TableGrid"/>
        <w:tblW w:type="auto" w:w="0"/>
        <w:jc w:val="center"/>
        <w:tblLayout w:type="autofit"/>
        <w:tblLook w:firstColumn="1" w:firstRow="1" w:lastColumn="0" w:lastRow="0" w:noHBand="0" w:noVBand="1" w:val="04A0"/>
      </w:tblPr>
      <w:tblGrid>
        <w:gridCol w:w="4680"/>
        <w:gridCol w:w="4680"/>
      </w:tblGrid>
      <w:tr>
        <w:tc>
          <w:tcPr>
            <w:tcW w:type="dxa" w:w="1728"/>
            <w:shd w:val="clear" w:fill="0B2447"/>
          </w:tcPr>
          <w:p>
            <w:pPr>
              <w:spacing w:after="40" w:before="40"/>
            </w:pPr>
            <w:r/>
            <w:r>
              <w:rPr>
                <w:rFonts w:ascii="Calibri" w:hAnsi="Calibri"/>
                <w:b/>
                <w:color w:val="FFFFFF"/>
                <w:sz w:val="19"/>
              </w:rPr>
              <w:t>Entity</w:t>
            </w:r>
          </w:p>
        </w:tc>
        <w:tc>
          <w:tcPr>
            <w:tcW w:type="dxa" w:w="7920"/>
            <w:shd w:val="clear" w:fill="0B2447"/>
          </w:tcPr>
          <w:p>
            <w:pPr>
              <w:spacing w:after="40" w:before="40"/>
            </w:pPr>
            <w:r/>
            <w:r>
              <w:rPr>
                <w:rFonts w:ascii="Calibri" w:hAnsi="Calibri"/>
                <w:b/>
                <w:color w:val="FFFFFF"/>
                <w:sz w:val="19"/>
              </w:rPr>
              <w:t>States</w:t>
            </w:r>
          </w:p>
        </w:tc>
      </w:tr>
      <w:tr>
        <w:tc>
          <w:tcPr>
            <w:tcW w:type="dxa" w:w="1728"/>
          </w:tcPr>
          <w:p>
            <w:pPr>
              <w:spacing w:after="40" w:before="40"/>
            </w:pPr>
            <w:r/>
            <w:r>
              <w:rPr>
                <w:rFonts w:ascii="Calibri" w:hAnsi="Calibri"/>
                <w:b w:val="0"/>
                <w:color w:val="344054"/>
                <w:sz w:val="19"/>
              </w:rPr>
              <w:t>Challenge</w:t>
            </w:r>
          </w:p>
        </w:tc>
        <w:tc>
          <w:tcPr>
            <w:tcW w:type="dxa" w:w="7920"/>
          </w:tcPr>
          <w:p>
            <w:pPr>
              <w:spacing w:after="40" w:before="40"/>
            </w:pPr>
            <w:r/>
            <w:r>
              <w:rPr>
                <w:rFonts w:ascii="Calibri" w:hAnsi="Calibri"/>
                <w:b w:val="0"/>
                <w:color w:val="344054"/>
                <w:sz w:val="19"/>
              </w:rPr>
              <w:t>DRAFT, PENDING_APPROVAL, PUBLISHED, CLOSED, EVALUATION, PILOT, PROCURED, REJECTED, ARCHIVED</w:t>
            </w:r>
          </w:p>
        </w:tc>
      </w:tr>
      <w:tr>
        <w:tc>
          <w:tcPr>
            <w:tcW w:type="dxa" w:w="1728"/>
            <w:shd w:val="clear" w:fill="F9FAFB"/>
          </w:tcPr>
          <w:p>
            <w:pPr>
              <w:spacing w:after="40" w:before="40"/>
            </w:pPr>
            <w:r/>
            <w:r>
              <w:rPr>
                <w:rFonts w:ascii="Calibri" w:hAnsi="Calibri"/>
                <w:b w:val="0"/>
                <w:color w:val="344054"/>
                <w:sz w:val="19"/>
              </w:rPr>
              <w:t>Application</w:t>
            </w:r>
          </w:p>
        </w:tc>
        <w:tc>
          <w:tcPr>
            <w:tcW w:type="dxa" w:w="7920"/>
            <w:shd w:val="clear" w:fill="F9FAFB"/>
          </w:tcPr>
          <w:p>
            <w:pPr>
              <w:spacing w:after="40" w:before="40"/>
            </w:pPr>
            <w:r/>
            <w:r>
              <w:rPr>
                <w:rFonts w:ascii="Calibri" w:hAnsi="Calibri"/>
                <w:b w:val="0"/>
                <w:color w:val="344054"/>
                <w:sz w:val="19"/>
              </w:rPr>
              <w:t>DRAFT, SUBMITTED, ELIGIBILITY_FAIL, UNDER_EVALUATION, SHORTLISTED, SELECTED_FOR_PILOT, REJECTED, WITHDRAWN</w:t>
            </w:r>
          </w:p>
        </w:tc>
      </w:tr>
      <w:tr>
        <w:tc>
          <w:tcPr>
            <w:tcW w:type="dxa" w:w="1728"/>
          </w:tcPr>
          <w:p>
            <w:pPr>
              <w:spacing w:after="40" w:before="40"/>
            </w:pPr>
            <w:r/>
            <w:r>
              <w:rPr>
                <w:rFonts w:ascii="Calibri" w:hAnsi="Calibri"/>
                <w:b w:val="0"/>
                <w:color w:val="344054"/>
                <w:sz w:val="19"/>
              </w:rPr>
              <w:t>Pilot</w:t>
            </w:r>
          </w:p>
        </w:tc>
        <w:tc>
          <w:tcPr>
            <w:tcW w:type="dxa" w:w="7920"/>
          </w:tcPr>
          <w:p>
            <w:pPr>
              <w:spacing w:after="40" w:before="40"/>
            </w:pPr>
            <w:r/>
            <w:r>
              <w:rPr>
                <w:rFonts w:ascii="Calibri" w:hAnsi="Calibri"/>
                <w:b w:val="0"/>
                <w:color w:val="344054"/>
                <w:sz w:val="19"/>
              </w:rPr>
              <w:t>AGREEMENT_PENDING, ACTIVE, ON_HOLD, UNDER_REVIEW, SUCCESS, PARTIAL, FAILED, CLOSED</w:t>
            </w:r>
          </w:p>
        </w:tc>
      </w:tr>
      <w:tr>
        <w:tc>
          <w:tcPr>
            <w:tcW w:type="dxa" w:w="1728"/>
            <w:shd w:val="clear" w:fill="F9FAFB"/>
          </w:tcPr>
          <w:p>
            <w:pPr>
              <w:spacing w:after="40" w:before="40"/>
            </w:pPr>
            <w:r/>
            <w:r>
              <w:rPr>
                <w:rFonts w:ascii="Calibri" w:hAnsi="Calibri"/>
                <w:b w:val="0"/>
                <w:color w:val="344054"/>
                <w:sz w:val="19"/>
              </w:rPr>
              <w:t>Procurement</w:t>
            </w:r>
          </w:p>
        </w:tc>
        <w:tc>
          <w:tcPr>
            <w:tcW w:type="dxa" w:w="7920"/>
            <w:shd w:val="clear" w:fill="F9FAFB"/>
          </w:tcPr>
          <w:p>
            <w:pPr>
              <w:spacing w:after="40" w:before="40"/>
            </w:pPr>
            <w:r/>
            <w:r>
              <w:rPr>
                <w:rFonts w:ascii="Calibri" w:hAnsi="Calibri"/>
                <w:b w:val="0"/>
                <w:color w:val="344054"/>
                <w:sz w:val="19"/>
              </w:rPr>
              <w:t>DRAFT, PENDING_APPROVAL, APPROVED, PO_ISSUED, ACTIVE, COMPLETED, TERMINATED</w:t>
            </w:r>
          </w:p>
        </w:tc>
      </w:tr>
    </w:tbl>
    <w:p>
      <w:pPr>
        <w:spacing w:after="80"/>
      </w:pPr>
    </w:p>
    <w:p>
      <w:r>
        <w:t>The same module maps a challenge status onto one of the five named stages, so the stage indicator in the interface and the state machine cannot disagree.</w:t>
      </w:r>
    </w:p>
    <w:p>
      <w:pPr>
        <w:pStyle w:val="Heading2"/>
      </w:pPr>
      <w:r>
        <w:t>8.14 Reference data</w:t>
      </w:r>
    </w:p>
    <w:p>
      <w:r>
        <w:t>A single GET /api/meta returns sectors, capability tags, states, the nine-level readiness scale, role labels, the five stages, all four state machines, the policy block with its statutory citations, the match weights and the evaluation rubric. One call means a form cannot drift out of agreement with the server about what a valid value is.</w:t>
      </w:r>
    </w:p>
    <w:p>
      <w:pPr>
        <w:pStyle w:val="Heading1"/>
      </w:pPr>
      <w:r>
        <w:t>9. Security and compliance design</w:t>
      </w:r>
    </w:p>
    <w:p>
      <w:pPr>
        <w:pStyle w:val="Heading2"/>
      </w:pPr>
      <w:r>
        <w:t>9.1 Authentication</w:t>
      </w:r>
    </w:p>
    <w:p>
      <w:r>
        <w:t>bcrypt password hashing; the hash is deleted from every user object before it leaves the server. A signed JWT carries subject, role and department with an eight-hour expiry. Every authenticated request reloads the user and requires status ACTIVE, so a suspended account fails on its next request rather than at token expiry. Failed sign-in attempts are written to the audit trail with the attempted address.</w:t>
      </w:r>
    </w:p>
    <w:p>
      <w:pPr>
        <w:pStyle w:val="Heading2"/>
      </w:pPr>
      <w:r>
        <w:t>9.2 Authorisation and separation of duties</w:t>
      </w:r>
    </w:p>
    <w:p>
      <w:r>
        <w:t>Role authorisation runs as middleware before every handler. Row-level ownership is then checked inside the handler, because a valid role is not the same as a right to a particular record. Four separations are enforced rather than advised:</w:t>
      </w:r>
    </w:p>
    <w:tbl>
      <w:tblPr>
        <w:tblStyle w:val="TableGrid"/>
        <w:tblW w:type="auto" w:w="0"/>
        <w:jc w:val="center"/>
        <w:tblLayout w:type="autofit"/>
        <w:tblLook w:firstColumn="1" w:firstRow="1" w:lastColumn="0" w:lastRow="0" w:noHBand="0" w:noVBand="1" w:val="04A0"/>
      </w:tblPr>
      <w:tblGrid>
        <w:gridCol w:w="4680"/>
        <w:gridCol w:w="4680"/>
      </w:tblGrid>
      <w:tr>
        <w:tc>
          <w:tcPr>
            <w:tcW w:type="dxa" w:w="3744"/>
            <w:shd w:val="clear" w:fill="0B2447"/>
          </w:tcPr>
          <w:p>
            <w:pPr>
              <w:spacing w:after="40" w:before="40"/>
            </w:pPr>
            <w:r/>
            <w:r>
              <w:rPr>
                <w:rFonts w:ascii="Calibri" w:hAnsi="Calibri"/>
                <w:b/>
                <w:color w:val="FFFFFF"/>
                <w:sz w:val="19"/>
              </w:rPr>
              <w:t>Separation</w:t>
            </w:r>
          </w:p>
        </w:tc>
        <w:tc>
          <w:tcPr>
            <w:tcW w:type="dxa" w:w="5904"/>
            <w:shd w:val="clear" w:fill="0B2447"/>
          </w:tcPr>
          <w:p>
            <w:pPr>
              <w:spacing w:after="40" w:before="40"/>
            </w:pPr>
            <w:r/>
            <w:r>
              <w:rPr>
                <w:rFonts w:ascii="Calibri" w:hAnsi="Calibri"/>
                <w:b/>
                <w:color w:val="FFFFFF"/>
                <w:sz w:val="19"/>
              </w:rPr>
              <w:t>Enforcement</w:t>
            </w:r>
          </w:p>
        </w:tc>
      </w:tr>
      <w:tr>
        <w:tc>
          <w:tcPr>
            <w:tcW w:type="dxa" w:w="3744"/>
          </w:tcPr>
          <w:p>
            <w:pPr>
              <w:spacing w:after="40" w:before="40"/>
            </w:pPr>
            <w:r/>
            <w:r>
              <w:rPr>
                <w:rFonts w:ascii="Calibri" w:hAnsi="Calibri"/>
                <w:b w:val="0"/>
                <w:color w:val="344054"/>
                <w:sz w:val="19"/>
              </w:rPr>
              <w:t>A nodal officer cannot publish their own problem statement</w:t>
            </w:r>
          </w:p>
        </w:tc>
        <w:tc>
          <w:tcPr>
            <w:tcW w:type="dxa" w:w="5904"/>
          </w:tcPr>
          <w:p>
            <w:pPr>
              <w:spacing w:after="40" w:before="40"/>
            </w:pPr>
            <w:r/>
            <w:r>
              <w:rPr>
                <w:rFonts w:ascii="Calibri" w:hAnsi="Calibri"/>
                <w:b w:val="0"/>
                <w:color w:val="344054"/>
                <w:sz w:val="19"/>
              </w:rPr>
              <w:t>Transition to PUBLISHED returns 403 unless DEPT_HEAD or ADMIN</w:t>
            </w:r>
          </w:p>
        </w:tc>
      </w:tr>
      <w:tr>
        <w:tc>
          <w:tcPr>
            <w:tcW w:type="dxa" w:w="3744"/>
            <w:shd w:val="clear" w:fill="F9FAFB"/>
          </w:tcPr>
          <w:p>
            <w:pPr>
              <w:spacing w:after="40" w:before="40"/>
            </w:pPr>
            <w:r/>
            <w:r>
              <w:rPr>
                <w:rFonts w:ascii="Calibri" w:hAnsi="Calibri"/>
                <w:b w:val="0"/>
                <w:color w:val="344054"/>
                <w:sz w:val="19"/>
              </w:rPr>
              <w:t>A procurement officer cannot sanction a procurement they prepared</w:t>
            </w:r>
          </w:p>
        </w:tc>
        <w:tc>
          <w:tcPr>
            <w:tcW w:type="dxa" w:w="5904"/>
            <w:shd w:val="clear" w:fill="F9FAFB"/>
          </w:tcPr>
          <w:p>
            <w:pPr>
              <w:spacing w:after="40" w:before="40"/>
            </w:pPr>
            <w:r/>
            <w:r>
              <w:rPr>
                <w:rFonts w:ascii="Calibri" w:hAnsi="Calibri"/>
                <w:b w:val="0"/>
                <w:color w:val="344054"/>
                <w:sz w:val="19"/>
              </w:rPr>
              <w:t>Transition to APPROVED returns 403 unless DEPT_HEAD or ADMIN</w:t>
            </w:r>
          </w:p>
        </w:tc>
      </w:tr>
      <w:tr>
        <w:tc>
          <w:tcPr>
            <w:tcW w:type="dxa" w:w="3744"/>
          </w:tcPr>
          <w:p>
            <w:pPr>
              <w:spacing w:after="40" w:before="40"/>
            </w:pPr>
            <w:r/>
            <w:r>
              <w:rPr>
                <w:rFonts w:ascii="Calibri" w:hAnsi="Calibri"/>
                <w:b w:val="0"/>
                <w:color w:val="344054"/>
                <w:sz w:val="19"/>
              </w:rPr>
              <w:t>A startup cannot influence the pilot verdict on its own pilot</w:t>
            </w:r>
          </w:p>
        </w:tc>
        <w:tc>
          <w:tcPr>
            <w:tcW w:type="dxa" w:w="5904"/>
          </w:tcPr>
          <w:p>
            <w:pPr>
              <w:spacing w:after="40" w:before="40"/>
            </w:pPr>
            <w:r/>
            <w:r>
              <w:rPr>
                <w:rFonts w:ascii="Calibri" w:hAnsi="Calibri"/>
                <w:b w:val="0"/>
                <w:color w:val="344054"/>
                <w:sz w:val="19"/>
              </w:rPr>
              <w:t>Verdict transitions restricted to PILOT_MONITOR or DEPT_HEAD</w:t>
            </w:r>
          </w:p>
        </w:tc>
      </w:tr>
      <w:tr>
        <w:tc>
          <w:tcPr>
            <w:tcW w:type="dxa" w:w="3744"/>
            <w:shd w:val="clear" w:fill="F9FAFB"/>
          </w:tcPr>
          <w:p>
            <w:pPr>
              <w:spacing w:after="40" w:before="40"/>
            </w:pPr>
            <w:r/>
            <w:r>
              <w:rPr>
                <w:rFonts w:ascii="Calibri" w:hAnsi="Calibri"/>
                <w:b w:val="0"/>
                <w:color w:val="344054"/>
                <w:sz w:val="19"/>
              </w:rPr>
              <w:t>An administrator cannot decide a department's business</w:t>
            </w:r>
          </w:p>
        </w:tc>
        <w:tc>
          <w:tcPr>
            <w:tcW w:type="dxa" w:w="5904"/>
            <w:shd w:val="clear" w:fill="F9FAFB"/>
          </w:tcPr>
          <w:p>
            <w:pPr>
              <w:spacing w:after="40" w:before="40"/>
            </w:pPr>
            <w:r/>
            <w:r>
              <w:rPr>
                <w:rFonts w:ascii="Calibri" w:hAnsi="Calibri"/>
                <w:b w:val="0"/>
                <w:color w:val="344054"/>
                <w:sz w:val="19"/>
              </w:rPr>
              <w:t>No scoring, approval or sanction route accepts ADMIN as a substitute for the department role</w:t>
            </w:r>
          </w:p>
        </w:tc>
      </w:tr>
    </w:tbl>
    <w:p>
      <w:pPr>
        <w:spacing w:after="80"/>
      </w:pPr>
    </w:p>
    <w:p>
      <w:pPr>
        <w:pStyle w:val="Heading2"/>
      </w:pPr>
      <w:r>
        <w:t>9.3 Data disclosure</w:t>
      </w:r>
    </w:p>
    <w:p>
      <w:r>
        <w:t>Public endpoints restrict challenge visibility to published and downstream stages, so a draft is a 404 to an anonymous caller rather than a 403 - the existence of the record is not disclosed. Financial and identity fields on a startup profile are stripped for unauthenticated callers and for other startups. An evaluator sees only applications assigned to them.</w:t>
      </w:r>
    </w:p>
    <w:p>
      <w:pPr>
        <w:pStyle w:val="Heading2"/>
      </w:pPr>
      <w:r>
        <w:t>9.4 DPDP Act 2023</w:t>
      </w:r>
    </w:p>
    <w:p>
      <w:r>
        <w:t>Purpose is declared at collection and bounded by procurement participation. The department is the data fiduciary and a startup running a pilot is a processor, so the platform requires the data processing agreement before a pilot may process anything - enforced as a precondition, not a checkbox. Correction and completion are fully self-service, which is the substantive answer to an adverse eligibility decision. Open items - a discrete revocable consent artefact, self-service erasure and scheduled-language notice - are tracked with owners and dates in AVSAR-DPD-009.</w:t>
      </w:r>
    </w:p>
    <w:p>
      <w:pPr>
        <w:pStyle w:val="Heading2"/>
      </w:pPr>
      <w:r>
        <w:t>9.5 Input handling and error disclosure</w:t>
      </w:r>
    </w:p>
    <w:p>
      <w:r>
        <w:t>Every request body is parsed by a schema at the route boundary; a failure returns HTTP 422 with a field path and message per issue, which the client renders inline against the offending input. All database access is parameterised. The client performs no raw HTML injection anywhere. Outside development, a server error returns a generic message with no stack trace or internal detail.</w:t>
      </w:r>
    </w:p>
    <w:p>
      <w:pPr>
        <w:pStyle w:val="Heading2"/>
      </w:pPr>
      <w:r>
        <w:t>9.6 Audit trail</w:t>
      </w:r>
    </w:p>
    <w:p>
      <w:r>
        <w:t>Each entry stores SHA-256 of the previous entry's hash concatenated with a canonical JSON payload of actor, role, action, entity, metadata and timestamp. The first entry chains from a genesis value of sixty-four zeros. Verification walks the chain from the beginning, recomputing each hash, and reports the identifier of the first entry where either the recorded previous hash or the recorded hash fails to match.</w:t>
      </w:r>
    </w:p>
    <w:tbl>
      <w:tblPr>
        <w:tblStyle w:val="TableGrid"/>
        <w:tblW w:type="auto" w:w="0"/>
        <w:tblLook w:firstColumn="1" w:firstRow="1" w:lastColumn="0" w:lastRow="0" w:noHBand="0" w:noVBand="1" w:val="04A0"/>
      </w:tblPr>
      <w:tblGrid>
        <w:gridCol w:w="9360"/>
      </w:tblGrid>
      <w:tr>
        <w:tc>
          <w:tcPr>
            <w:tcW w:type="dxa" w:w="9360"/>
            <w:shd w:val="clear" w:fill="F2F4F7"/>
          </w:tcPr>
          <w:p>
            <w:r/>
            <w:r>
              <w:rPr>
                <w:b/>
                <w:color w:val="0B2447"/>
                <w:sz w:val="19"/>
              </w:rPr>
              <w:t xml:space="preserve">Why this and not a log table:  </w:t>
            </w:r>
            <w:r>
              <w:rPr>
                <w:color w:val="344054"/>
                <w:sz w:val="19"/>
              </w:rPr>
              <w:t>A conventional log can be edited by anyone with database access and the edit leaves no trace. Chaining means an edit anywhere invalidates every subsequent hash, so tampering is detectable rather than merely prohibited. This is the control that makes an evidence-gated single-source award defensible to audit.</w:t>
            </w:r>
          </w:p>
        </w:tc>
      </w:tr>
    </w:tbl>
    <w:p>
      <w:pPr>
        <w:spacing w:after="80"/>
      </w:pPr>
    </w:p>
    <w:p>
      <w:pPr>
        <w:pStyle w:val="Heading1"/>
      </w:pPr>
      <w:r>
        <w:t>10. Quality attributes</w:t>
      </w:r>
    </w:p>
    <w:p>
      <w:pPr>
        <w:pStyle w:val="Heading2"/>
      </w:pPr>
      <w:r>
        <w:t>10.1 Performance</w:t>
      </w:r>
    </w:p>
    <w:p>
      <w:r>
        <w:t>Indexes cover every filter and join used by a list view. Aggregates on the transparency board are single-pass scalar queries. The client bundle is split three ways so that charting code does not block first paint: application 253 kB, framework 164 kB, charts 384 kB, or 66, 54 and 105 kB gzipped. Production build completes in about four seconds.</w:t>
      </w:r>
    </w:p>
    <w:p>
      <w:pPr>
        <w:pStyle w:val="Heading2"/>
      </w:pPr>
      <w:r>
        <w:t>10.2 Portability</w:t>
      </w:r>
    </w:p>
    <w:p>
      <w:r>
        <w:t>No natively compiled dependency, so installation cannot fail on a toolchain. The schema avoids SQLite-specific constructs beyond AUTOINCREMENT and the datetime default, both of which have direct PostgreSQL equivalents; moving is a driver change in one file.</w:t>
      </w:r>
    </w:p>
    <w:p>
      <w:pPr>
        <w:pStyle w:val="Heading2"/>
      </w:pPr>
      <w:r>
        <w:t>10.3 Accessibility</w:t>
      </w:r>
    </w:p>
    <w:p>
      <w:pPr>
        <w:pStyle w:val="ListBullet"/>
        <w:spacing w:after="60"/>
      </w:pPr>
      <w:r>
        <w:t>Semantic landmarks and a skip link to main content on every page.</w:t>
      </w:r>
    </w:p>
    <w:p>
      <w:pPr>
        <w:pStyle w:val="ListBullet"/>
        <w:spacing w:after="60"/>
      </w:pPr>
      <w:r>
        <w:t>Focus-visible outlines defined once and never suppressed; focus order follows document order.</w:t>
      </w:r>
    </w:p>
    <w:p>
      <w:pPr>
        <w:pStyle w:val="ListBullet"/>
        <w:spacing w:after="60"/>
      </w:pPr>
      <w:r>
        <w:t>No information conveyed by colour alone - every status chip pairs its colour with a text label, and the status vocabulary lives in one module so the pairing cannot be forgotten.</w:t>
      </w:r>
    </w:p>
    <w:p>
      <w:pPr>
        <w:pStyle w:val="ListBullet"/>
        <w:spacing w:after="60"/>
      </w:pPr>
      <w:r>
        <w:t>ARIA on live regions, progress bars, tab lists and dialogs; a modal traps Escape and restores scroll.</w:t>
      </w:r>
    </w:p>
    <w:p>
      <w:pPr>
        <w:pStyle w:val="ListBullet"/>
        <w:spacing w:after="60"/>
      </w:pPr>
      <w:r>
        <w:t>prefers-reduced-motion collapses all animation.</w:t>
      </w:r>
    </w:p>
    <w:p>
      <w:pPr>
        <w:pStyle w:val="ListBullet"/>
        <w:spacing w:after="60"/>
      </w:pPr>
      <w:r>
        <w:t>Dense tables scroll inside their own container so the page body never scrolls horizontally.</w:t>
      </w:r>
    </w:p>
    <w:p>
      <w:pPr>
        <w:pStyle w:val="Heading2"/>
      </w:pPr>
      <w:r>
        <w:t>10.4 Design system</w:t>
      </w:r>
    </w:p>
    <w:p>
      <w:r>
        <w:t>tokens.css defines the ink and paper scales, an administrative navy as primary, an Ashoka blue accent used sparingly, saffron reserved for the sandbox stage, semantic colours, a type scale down to eleven pixels for table metadata, a four-pixel spacing scale, radius and a restrained elevation scale. Nothing in the application sets a raw hex value. Typography pairs Inter for interface with Source Serif 4 for display headings and JetBrains Mono for file numbers and hashes, which is what gives the surface an editorial rather than a product feel.</w:t>
      </w:r>
    </w:p>
    <w:p>
      <w:pPr>
        <w:pStyle w:val="Heading2"/>
      </w:pPr>
      <w:r>
        <w:t>10.5 Reliability</w:t>
      </w:r>
    </w:p>
    <w:p>
      <w:r>
        <w:t>A render failure anywhere in the tree is caught by an error boundary that presents the message and a route back, so a demo never shows a blank screen. Multi-row writes are transactional. The fetch layer cancels in-flight requests on unmount and recovers from a 401 by clearing the token and returning to sign-in.</w:t>
      </w:r>
    </w:p>
    <w:p>
      <w:pPr>
        <w:pStyle w:val="Heading2"/>
      </w:pPr>
      <w:r>
        <w:t>10.6 Observability</w:t>
      </w:r>
    </w:p>
    <w:p>
      <w:r>
        <w:t>GET /api/health reports service name, version, environment, database engine and file, and whether the database has been seeded - enough for a load balancer probe and for a reviewer to confirm the environment before a demonstration.</w:t>
      </w:r>
    </w:p>
    <w:p>
      <w:pPr>
        <w:pStyle w:val="Heading2"/>
      </w:pPr>
      <w:r>
        <w:t>10.7 Localisation readiness</w:t>
      </w:r>
    </w:p>
    <w:p>
      <w:r>
        <w:t>Reference data - sectors, capability tags, states, readiness levels, role labels, status labels - is served from the API or held in a single client module rather than embedded in components, so a Hindi layer is a content change rather than a structural one.</w:t>
      </w:r>
    </w:p>
    <w:p>
      <w:pPr>
        <w:pStyle w:val="Heading2"/>
      </w:pPr>
      <w:r>
        <w:t>10.8 Client structure</w:t>
      </w:r>
    </w:p>
    <w:p>
      <w:r>
        <w:t>Thirty-one routes, ten public and twenty-one authenticated, guarded by a role-aware wrapper that redirects rather than rendering a forbidden view. All endpoint URLs live in one map so no component contains a URL string. Navigation is derived from the role predicate, so a user never sees a link to something the server would refuse.</w:t>
      </w:r>
    </w:p>
    <w:p>
      <w:pPr>
        <w:pStyle w:val="Heading2"/>
      </w:pPr>
      <w:r>
        <w:t>10.9 Public surface</w:t>
      </w:r>
    </w:p>
    <w:p>
      <w:r>
        <w:t>The public site carries the landing page, the reference explanation of the mechanism, the transparency board, published problem statements, the startup registry and the Proven Solutions Registry. It exists because a procurement mechanism that asks for public trust should be legible to the public without an account.</w:t>
      </w:r>
    </w:p>
    <w:p>
      <w:pPr>
        <w:pStyle w:val="Heading1"/>
      </w:pPr>
      <w:r>
        <w:t>11. Integration and deployment design</w:t>
      </w:r>
    </w:p>
    <w:p>
      <w:pPr>
        <w:pStyle w:val="Heading2"/>
      </w:pPr>
      <w:r>
        <w:t>11.1 Integration points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016"/>
            <w:shd w:val="clear" w:fill="0B2447"/>
          </w:tcPr>
          <w:p>
            <w:pPr>
              <w:spacing w:after="40" w:before="40"/>
            </w:pPr>
            <w:r/>
            <w:r>
              <w:rPr>
                <w:rFonts w:ascii="Calibri" w:hAnsi="Calibri"/>
                <w:b/>
                <w:color w:val="FFFFFF"/>
                <w:sz w:val="19"/>
              </w:rPr>
              <w:t>System</w:t>
            </w:r>
          </w:p>
        </w:tc>
        <w:tc>
          <w:tcPr>
            <w:tcW w:type="dxa" w:w="3456"/>
            <w:shd w:val="clear" w:fill="0B2447"/>
          </w:tcPr>
          <w:p>
            <w:pPr>
              <w:spacing w:after="40" w:before="40"/>
            </w:pPr>
            <w:r/>
            <w:r>
              <w:rPr>
                <w:rFonts w:ascii="Calibri" w:hAnsi="Calibri"/>
                <w:b/>
                <w:color w:val="FFFFFF"/>
                <w:sz w:val="19"/>
              </w:rPr>
              <w:t>Purpose</w:t>
            </w:r>
          </w:p>
        </w:tc>
        <w:tc>
          <w:tcPr>
            <w:tcW w:type="dxa" w:w="4176"/>
            <w:shd w:val="clear" w:fill="0B2447"/>
          </w:tcPr>
          <w:p>
            <w:pPr>
              <w:spacing w:after="40" w:before="40"/>
            </w:pPr>
            <w:r/>
            <w:r>
              <w:rPr>
                <w:rFonts w:ascii="Calibri" w:hAnsi="Calibri"/>
                <w:b/>
                <w:color w:val="FFFFFF"/>
                <w:sz w:val="19"/>
              </w:rPr>
              <w:t>Current state</w:t>
            </w:r>
          </w:p>
        </w:tc>
      </w:tr>
      <w:tr>
        <w:tc>
          <w:tcPr>
            <w:tcW w:type="dxa" w:w="2016"/>
          </w:tcPr>
          <w:p>
            <w:pPr>
              <w:spacing w:after="40" w:before="40"/>
            </w:pPr>
            <w:r/>
            <w:r>
              <w:rPr>
                <w:rFonts w:ascii="Calibri" w:hAnsi="Calibri"/>
                <w:b w:val="0"/>
                <w:color w:val="344054"/>
                <w:sz w:val="19"/>
              </w:rPr>
              <w:t>MCA (CIN)</w:t>
            </w:r>
          </w:p>
        </w:tc>
        <w:tc>
          <w:tcPr>
            <w:tcW w:type="dxa" w:w="3456"/>
          </w:tcPr>
          <w:p>
            <w:pPr>
              <w:spacing w:after="40" w:before="40"/>
            </w:pPr>
            <w:r/>
            <w:r>
              <w:rPr>
                <w:rFonts w:ascii="Calibri" w:hAnsi="Calibri"/>
                <w:b w:val="0"/>
                <w:color w:val="344054"/>
                <w:sz w:val="19"/>
              </w:rPr>
              <w:t>Verify corporate identity at registration</w:t>
            </w:r>
          </w:p>
        </w:tc>
        <w:tc>
          <w:tcPr>
            <w:tcW w:type="dxa" w:w="4176"/>
          </w:tcPr>
          <w:p>
            <w:pPr>
              <w:spacing w:after="40" w:before="40"/>
            </w:pPr>
            <w:r/>
            <w:r>
              <w:rPr>
                <w:rFonts w:ascii="Calibri" w:hAnsi="Calibri"/>
                <w:b w:val="0"/>
                <w:color w:val="344054"/>
                <w:sz w:val="19"/>
              </w:rPr>
              <w:t>Field captured; live verification is a deployment item</w:t>
            </w:r>
          </w:p>
        </w:tc>
      </w:tr>
      <w:tr>
        <w:tc>
          <w:tcPr>
            <w:tcW w:type="dxa" w:w="2016"/>
            <w:shd w:val="clear" w:fill="F9FAFB"/>
          </w:tcPr>
          <w:p>
            <w:pPr>
              <w:spacing w:after="40" w:before="40"/>
            </w:pPr>
            <w:r/>
            <w:r>
              <w:rPr>
                <w:rFonts w:ascii="Calibri" w:hAnsi="Calibri"/>
                <w:b w:val="0"/>
                <w:color w:val="344054"/>
                <w:sz w:val="19"/>
              </w:rPr>
              <w:t>GSTN (GSTIN)</w:t>
            </w:r>
          </w:p>
        </w:tc>
        <w:tc>
          <w:tcPr>
            <w:tcW w:type="dxa" w:w="3456"/>
            <w:shd w:val="clear" w:fill="F9FAFB"/>
          </w:tcPr>
          <w:p>
            <w:pPr>
              <w:spacing w:after="40" w:before="40"/>
            </w:pPr>
            <w:r/>
            <w:r>
              <w:rPr>
                <w:rFonts w:ascii="Calibri" w:hAnsi="Calibri"/>
                <w:b w:val="0"/>
                <w:color w:val="344054"/>
                <w:sz w:val="19"/>
              </w:rPr>
              <w:t>Verify tax registration</w:t>
            </w:r>
          </w:p>
        </w:tc>
        <w:tc>
          <w:tcPr>
            <w:tcW w:type="dxa" w:w="4176"/>
            <w:shd w:val="clear" w:fill="F9FAFB"/>
          </w:tcPr>
          <w:p>
            <w:pPr>
              <w:spacing w:after="40" w:before="40"/>
            </w:pPr>
            <w:r/>
            <w:r>
              <w:rPr>
                <w:rFonts w:ascii="Calibri" w:hAnsi="Calibri"/>
                <w:b w:val="0"/>
                <w:color w:val="344054"/>
                <w:sz w:val="19"/>
              </w:rPr>
              <w:t>Field captured; live verification is a deployment item</w:t>
            </w:r>
          </w:p>
        </w:tc>
      </w:tr>
      <w:tr>
        <w:tc>
          <w:tcPr>
            <w:tcW w:type="dxa" w:w="2016"/>
          </w:tcPr>
          <w:p>
            <w:pPr>
              <w:spacing w:after="40" w:before="40"/>
            </w:pPr>
            <w:r/>
            <w:r>
              <w:rPr>
                <w:rFonts w:ascii="Calibri" w:hAnsi="Calibri"/>
                <w:b w:val="0"/>
                <w:color w:val="344054"/>
                <w:sz w:val="19"/>
              </w:rPr>
              <w:t>Udyam registry</w:t>
            </w:r>
          </w:p>
        </w:tc>
        <w:tc>
          <w:tcPr>
            <w:tcW w:type="dxa" w:w="3456"/>
          </w:tcPr>
          <w:p>
            <w:pPr>
              <w:spacing w:after="40" w:before="40"/>
            </w:pPr>
            <w:r/>
            <w:r>
              <w:rPr>
                <w:rFonts w:ascii="Calibri" w:hAnsi="Calibri"/>
                <w:b w:val="0"/>
                <w:color w:val="344054"/>
                <w:sz w:val="19"/>
              </w:rPr>
              <w:t>MSME status for payment protection</w:t>
            </w:r>
          </w:p>
        </w:tc>
        <w:tc>
          <w:tcPr>
            <w:tcW w:type="dxa" w:w="4176"/>
          </w:tcPr>
          <w:p>
            <w:pPr>
              <w:spacing w:after="40" w:before="40"/>
            </w:pPr>
            <w:r/>
            <w:r>
              <w:rPr>
                <w:rFonts w:ascii="Calibri" w:hAnsi="Calibri"/>
                <w:b w:val="0"/>
                <w:color w:val="344054"/>
                <w:sz w:val="19"/>
              </w:rPr>
              <w:t>Field captured; live verification is a deployment item</w:t>
            </w:r>
          </w:p>
        </w:tc>
      </w:tr>
      <w:tr>
        <w:tc>
          <w:tcPr>
            <w:tcW w:type="dxa" w:w="2016"/>
            <w:shd w:val="clear" w:fill="F9FAFB"/>
          </w:tcPr>
          <w:p>
            <w:pPr>
              <w:spacing w:after="40" w:before="40"/>
            </w:pPr>
            <w:r/>
            <w:r>
              <w:rPr>
                <w:rFonts w:ascii="Calibri" w:hAnsi="Calibri"/>
                <w:b w:val="0"/>
                <w:color w:val="344054"/>
                <w:sz w:val="19"/>
              </w:rPr>
              <w:t>GeM</w:t>
            </w:r>
          </w:p>
        </w:tc>
        <w:tc>
          <w:tcPr>
            <w:tcW w:type="dxa" w:w="3456"/>
            <w:shd w:val="clear" w:fill="F9FAFB"/>
          </w:tcPr>
          <w:p>
            <w:pPr>
              <w:spacing w:after="40" w:before="40"/>
            </w:pPr>
            <w:r/>
            <w:r>
              <w:rPr>
                <w:rFonts w:ascii="Calibri" w:hAnsi="Calibri"/>
                <w:b w:val="0"/>
                <w:color w:val="344054"/>
                <w:sz w:val="19"/>
              </w:rPr>
              <w:t>List a proven solution; place an order</w:t>
            </w:r>
          </w:p>
        </w:tc>
        <w:tc>
          <w:tcPr>
            <w:tcW w:type="dxa" w:w="4176"/>
            <w:shd w:val="clear" w:fill="F9FAFB"/>
          </w:tcPr>
          <w:p>
            <w:pPr>
              <w:spacing w:after="40" w:before="40"/>
            </w:pPr>
            <w:r/>
            <w:r>
              <w:rPr>
                <w:rFonts w:ascii="Calibri" w:hAnsi="Calibri"/>
                <w:b w:val="0"/>
                <w:color w:val="344054"/>
                <w:sz w:val="19"/>
              </w:rPr>
              <w:t>gem_contract_id field present on procurement</w:t>
            </w:r>
          </w:p>
        </w:tc>
      </w:tr>
      <w:tr>
        <w:tc>
          <w:tcPr>
            <w:tcW w:type="dxa" w:w="2016"/>
          </w:tcPr>
          <w:p>
            <w:pPr>
              <w:spacing w:after="40" w:before="40"/>
            </w:pPr>
            <w:r/>
            <w:r>
              <w:rPr>
                <w:rFonts w:ascii="Calibri" w:hAnsi="Calibri"/>
                <w:b w:val="0"/>
                <w:color w:val="344054"/>
                <w:sz w:val="19"/>
              </w:rPr>
              <w:t>PFMS</w:t>
            </w:r>
          </w:p>
        </w:tc>
        <w:tc>
          <w:tcPr>
            <w:tcW w:type="dxa" w:w="3456"/>
          </w:tcPr>
          <w:p>
            <w:pPr>
              <w:spacing w:after="40" w:before="40"/>
            </w:pPr>
            <w:r/>
            <w:r>
              <w:rPr>
                <w:rFonts w:ascii="Calibri" w:hAnsi="Calibri"/>
                <w:b w:val="0"/>
                <w:color w:val="344054"/>
                <w:sz w:val="19"/>
              </w:rPr>
              <w:t>Payment status and settlement reference</w:t>
            </w:r>
          </w:p>
        </w:tc>
        <w:tc>
          <w:tcPr>
            <w:tcW w:type="dxa" w:w="4176"/>
          </w:tcPr>
          <w:p>
            <w:pPr>
              <w:spacing w:after="40" w:before="40"/>
            </w:pPr>
            <w:r/>
            <w:r>
              <w:rPr>
                <w:rFonts w:ascii="Calibri" w:hAnsi="Calibri"/>
                <w:b w:val="0"/>
                <w:color w:val="344054"/>
                <w:sz w:val="19"/>
              </w:rPr>
              <w:t>pfms_ref field present on payment; recorded at release</w:t>
            </w:r>
          </w:p>
        </w:tc>
      </w:tr>
      <w:tr>
        <w:tc>
          <w:tcPr>
            <w:tcW w:type="dxa" w:w="2016"/>
            <w:shd w:val="clear" w:fill="F9FAFB"/>
          </w:tcPr>
          <w:p>
            <w:pPr>
              <w:spacing w:after="40" w:before="40"/>
            </w:pPr>
            <w:r/>
            <w:r>
              <w:rPr>
                <w:rFonts w:ascii="Calibri" w:hAnsi="Calibri"/>
                <w:b w:val="0"/>
                <w:color w:val="344054"/>
                <w:sz w:val="19"/>
              </w:rPr>
              <w:t>CPPP</w:t>
            </w:r>
          </w:p>
        </w:tc>
        <w:tc>
          <w:tcPr>
            <w:tcW w:type="dxa" w:w="3456"/>
            <w:shd w:val="clear" w:fill="F9FAFB"/>
          </w:tcPr>
          <w:p>
            <w:pPr>
              <w:spacing w:after="40" w:before="40"/>
            </w:pPr>
            <w:r/>
            <w:r>
              <w:rPr>
                <w:rFonts w:ascii="Calibri" w:hAnsi="Calibri"/>
                <w:b w:val="0"/>
                <w:color w:val="344054"/>
                <w:sz w:val="19"/>
              </w:rPr>
              <w:t>Publish procurement notices</w:t>
            </w:r>
          </w:p>
        </w:tc>
        <w:tc>
          <w:tcPr>
            <w:tcW w:type="dxa" w:w="4176"/>
            <w:shd w:val="clear" w:fill="F9FAFB"/>
          </w:tcPr>
          <w:p>
            <w:pPr>
              <w:spacing w:after="40" w:before="40"/>
            </w:pPr>
            <w:r/>
            <w:r>
              <w:rPr>
                <w:rFonts w:ascii="Calibri" w:hAnsi="Calibri"/>
                <w:b w:val="0"/>
                <w:color w:val="344054"/>
                <w:sz w:val="19"/>
              </w:rPr>
              <w:t>Deployment item</w:t>
            </w:r>
          </w:p>
        </w:tc>
      </w:tr>
      <w:tr>
        <w:tc>
          <w:tcPr>
            <w:tcW w:type="dxa" w:w="2016"/>
          </w:tcPr>
          <w:p>
            <w:pPr>
              <w:spacing w:after="40" w:before="40"/>
            </w:pPr>
            <w:r/>
            <w:r>
              <w:rPr>
                <w:rFonts w:ascii="Calibri" w:hAnsi="Calibri"/>
                <w:b w:val="0"/>
                <w:color w:val="344054"/>
                <w:sz w:val="19"/>
              </w:rPr>
              <w:t>NIC single sign-on</w:t>
            </w:r>
          </w:p>
        </w:tc>
        <w:tc>
          <w:tcPr>
            <w:tcW w:type="dxa" w:w="3456"/>
          </w:tcPr>
          <w:p>
            <w:pPr>
              <w:spacing w:after="40" w:before="40"/>
            </w:pPr>
            <w:r/>
            <w:r>
              <w:rPr>
                <w:rFonts w:ascii="Calibri" w:hAnsi="Calibri"/>
                <w:b w:val="0"/>
                <w:color w:val="344054"/>
                <w:sz w:val="19"/>
              </w:rPr>
              <w:t>Authenticate departmental users</w:t>
            </w:r>
          </w:p>
        </w:tc>
        <w:tc>
          <w:tcPr>
            <w:tcW w:type="dxa" w:w="4176"/>
          </w:tcPr>
          <w:p>
            <w:pPr>
              <w:spacing w:after="40" w:before="40"/>
            </w:pPr>
            <w:r/>
            <w:r>
              <w:rPr>
                <w:rFonts w:ascii="Calibri" w:hAnsi="Calibri"/>
                <w:b w:val="0"/>
                <w:color w:val="344054"/>
                <w:sz w:val="19"/>
              </w:rPr>
              <w:t>Deployment item; local passwords in the reference build</w:t>
            </w:r>
          </w:p>
        </w:tc>
      </w:tr>
    </w:tbl>
    <w:p>
      <w:pPr>
        <w:spacing w:after="80"/>
      </w:pPr>
    </w:p>
    <w:p>
      <w:r>
        <w:t>Each integration is isolated behind a named column rather than an embedded call, so a live adapter replaces a stub without a schema migration.</w:t>
      </w:r>
    </w:p>
    <w:p>
      <w:pPr>
        <w:pStyle w:val="Heading2"/>
      </w:pPr>
      <w:r>
        <w:t>11.2 Pre-deployment gates</w:t>
      </w:r>
    </w:p>
    <w:p>
      <w:r>
        <w:t>Two gates are absolute. No live award may be made before a vulnerability assessment and penetration test by a CERT-In empanelled auditor. No deployment to a government domain may occur before an independent GIGW 3.0 conformance audit. Both are recorded as requirements in AVSAR-RTM-004 and as obligations in AVSAR-DPD-009, not as intentions.</w:t>
      </w:r>
    </w:p>
    <w:p>
      <w:pPr>
        <w:pStyle w:val="Heading1"/>
      </w:pPr>
      <w:r>
        <w:t>12. Verification design</w:t>
      </w:r>
    </w:p>
    <w:p>
      <w:pPr>
        <w:pStyle w:val="Heading2"/>
      </w:pPr>
      <w:r>
        <w:t>12.1 End-to-end suite</w:t>
      </w:r>
    </w:p>
    <w:p>
      <w:r>
        <w:t>One suite walks a single problem statement through all five stages against a live API on a throwaway database, asserting thirty-two conditions. It is organised by stage so a failure localises immediately, and it deliberately asserts refusals as well as successes: a problem statement with no KPI, a nodal officer publishing their own work, an illegal transition, a quote above the ceiling, milestone payouts that do not total one hundred, a sanction above the ceiling, activation without a data processing agreement, scoring without a conflict declaration, editing a submitted score, procuring without pilot evidence, sanctioning without authority, a startup reading another department's data, and an anonymous caller reaching a draft.</w:t>
      </w:r>
    </w:p>
    <w:p>
      <w:pPr>
        <w:pStyle w:val="Heading2"/>
      </w:pPr>
      <w:r>
        <w:t>12.2 Seed dataset</w:t>
      </w:r>
    </w:p>
    <w:p>
      <w:r>
        <w:t>The seed is deterministic and shaped to exercise every state in the workflow, so a reviewer sees the whole lifecycle without clicking through it: seven departments, thirty-two users across all seven roles, twelve startups of which two are deliberately ineligible - one incorporated more than ten years ago and one above the turnover ceiling - eight problem statements spanning draft to procured, thirteen applications including one blocked at the gate, nineteen evaluations of which four are left unscored to populate an evaluator's live worklist, two pilots of which one is closed with all KPIs met and one is active with a milestone awaiting review, one rate contract, one registry listing and two cross-department adoptions. Dates are computed so that the cycle-time medians on the transparency board are coherent.</w:t>
      </w:r>
    </w:p>
    <w:p>
      <w:pPr>
        <w:pStyle w:val="Heading1"/>
      </w:pPr>
      <w:r>
        <w:t>13. Document generation</w:t>
      </w:r>
    </w:p>
    <w:p>
      <w:r>
        <w:t>The nine binary documents in docs/ are generated from committed Python source in docs/tools, sharing one cover-block, palette and table style. The consequence is that a document and the data behind it cannot diverge: changing a requirement means changing the source row and regenerating, so a stale spreadsheet cannot be circulated by accident. Summary tabs use live spreadsheet formulas over the data tabs rather than typed counts, so editing a status cell updates every figure that depends on it.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67085"/>
        <w:sz w:val="16"/>
      </w:rPr>
      <w:t>AVSAR-SDD-005 Software Design Document v1.0 - Internal - Smart India Hackathon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3440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B2447"/>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2447"/>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563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