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color w:val="667085"/>
          <w:sz w:val="26"/>
        </w:rPr>
        <w:t>AVSAR - Startup-Friendly Public Procurement Platform</w:t>
      </w:r>
    </w:p>
    <w:p>
      <w:pPr>
        <w:spacing w:after="40"/>
      </w:pPr>
      <w:r>
        <w:rPr>
          <w:rFonts w:ascii="Calibri" w:hAnsi="Calibri"/>
          <w:b/>
          <w:color w:val="0B2447"/>
          <w:sz w:val="60"/>
        </w:rPr>
        <w:t>Project Charter</w:t>
      </w:r>
    </w:p>
    <w:p>
      <w:r>
        <w:rPr>
          <w:rFonts w:ascii="Calibri" w:hAnsi="Calibri"/>
          <w:color w:val="05639E"/>
          <w:sz w:val="24"/>
        </w:rPr>
        <w:t>Startup-friendly public procurement mechanism for government departments</w:t>
      </w:r>
    </w:p>
    <w:p>
      <w:pPr>
        <w:spacing w:before="520"/>
      </w:pPr>
      <w:r>
        <w:rPr>
          <w:b/>
          <w:color w:val="0B2447"/>
          <w:sz w:val="22"/>
        </w:rPr>
        <w:t>Document control</w:t>
      </w:r>
    </w:p>
    <w:tbl>
      <w:tblPr>
        <w:tblStyle w:val="TableGrid"/>
        <w:tblW w:type="auto" w:w="0"/>
        <w:jc w:val="center"/>
        <w:tblLayout w:type="autofit"/>
        <w:tblLook w:firstColumn="1" w:firstRow="1" w:lastColumn="0" w:lastRow="0" w:noHBand="0" w:noVBand="1" w:val="04A0"/>
      </w:tblPr>
      <w:tblGrid>
        <w:gridCol w:w="4680"/>
        <w:gridCol w:w="4680"/>
      </w:tblGrid>
      <w:tr>
        <w:tc>
          <w:tcPr>
            <w:tcW w:type="dxa" w:w="2592"/>
            <w:shd w:val="clear" w:fill="0B2447"/>
          </w:tcPr>
          <w:p>
            <w:pPr>
              <w:spacing w:after="40" w:before="40"/>
            </w:pPr>
            <w:r/>
            <w:r>
              <w:rPr>
                <w:rFonts w:ascii="Calibri" w:hAnsi="Calibri"/>
                <w:b/>
                <w:color w:val="FFFFFF"/>
                <w:sz w:val="19"/>
              </w:rPr>
              <w:t>Field</w:t>
            </w:r>
          </w:p>
        </w:tc>
        <w:tc>
          <w:tcPr>
            <w:tcW w:type="dxa" w:w="6912"/>
            <w:shd w:val="clear" w:fill="0B2447"/>
          </w:tcPr>
          <w:p>
            <w:pPr>
              <w:spacing w:after="40" w:before="40"/>
            </w:pPr>
            <w:r/>
            <w:r>
              <w:rPr>
                <w:rFonts w:ascii="Calibri" w:hAnsi="Calibri"/>
                <w:b/>
                <w:color w:val="FFFFFF"/>
                <w:sz w:val="19"/>
              </w:rPr>
              <w:t>Value</w:t>
            </w:r>
          </w:p>
        </w:tc>
      </w:tr>
      <w:tr>
        <w:tc>
          <w:tcPr>
            <w:tcW w:type="dxa" w:w="2592"/>
          </w:tcPr>
          <w:p>
            <w:pPr>
              <w:spacing w:after="40" w:before="40"/>
            </w:pPr>
            <w:r/>
            <w:r>
              <w:rPr>
                <w:rFonts w:ascii="Calibri" w:hAnsi="Calibri"/>
                <w:b w:val="0"/>
                <w:color w:val="344054"/>
                <w:sz w:val="19"/>
              </w:rPr>
              <w:t>Document ID</w:t>
            </w:r>
          </w:p>
        </w:tc>
        <w:tc>
          <w:tcPr>
            <w:tcW w:type="dxa" w:w="6912"/>
          </w:tcPr>
          <w:p>
            <w:pPr>
              <w:spacing w:after="40" w:before="40"/>
            </w:pPr>
            <w:r/>
            <w:r>
              <w:rPr>
                <w:rFonts w:ascii="Calibri" w:hAnsi="Calibri"/>
                <w:b w:val="0"/>
                <w:color w:val="344054"/>
                <w:sz w:val="19"/>
              </w:rPr>
              <w:t>AVSAR-CHR-002</w:t>
            </w:r>
          </w:p>
        </w:tc>
      </w:tr>
      <w:tr>
        <w:tc>
          <w:tcPr>
            <w:tcW w:type="dxa" w:w="2592"/>
            <w:shd w:val="clear" w:fill="F9FAFB"/>
          </w:tcPr>
          <w:p>
            <w:pPr>
              <w:spacing w:after="40" w:before="40"/>
            </w:pPr>
            <w:r/>
            <w:r>
              <w:rPr>
                <w:rFonts w:ascii="Calibri" w:hAnsi="Calibri"/>
                <w:b w:val="0"/>
                <w:color w:val="344054"/>
                <w:sz w:val="19"/>
              </w:rPr>
              <w:t>Version</w:t>
            </w:r>
          </w:p>
        </w:tc>
        <w:tc>
          <w:tcPr>
            <w:tcW w:type="dxa" w:w="6912"/>
            <w:shd w:val="clear" w:fill="F9FAFB"/>
          </w:tcPr>
          <w:p>
            <w:pPr>
              <w:spacing w:after="40" w:before="40"/>
            </w:pPr>
            <w:r/>
            <w:r>
              <w:rPr>
                <w:rFonts w:ascii="Calibri" w:hAnsi="Calibri"/>
                <w:b w:val="0"/>
                <w:color w:val="344054"/>
                <w:sz w:val="19"/>
              </w:rPr>
              <w:t>1.0</w:t>
            </w:r>
          </w:p>
        </w:tc>
      </w:tr>
      <w:tr>
        <w:tc>
          <w:tcPr>
            <w:tcW w:type="dxa" w:w="2592"/>
          </w:tcPr>
          <w:p>
            <w:pPr>
              <w:spacing w:after="40" w:before="40"/>
            </w:pPr>
            <w:r/>
            <w:r>
              <w:rPr>
                <w:rFonts w:ascii="Calibri" w:hAnsi="Calibri"/>
                <w:b w:val="0"/>
                <w:color w:val="344054"/>
                <w:sz w:val="19"/>
              </w:rPr>
              <w:t>Date</w:t>
            </w:r>
          </w:p>
        </w:tc>
        <w:tc>
          <w:tcPr>
            <w:tcW w:type="dxa" w:w="6912"/>
          </w:tcPr>
          <w:p>
            <w:pPr>
              <w:spacing w:after="40" w:before="40"/>
            </w:pPr>
            <w:r/>
            <w:r>
              <w:rPr>
                <w:rFonts w:ascii="Calibri" w:hAnsi="Calibri"/>
                <w:b w:val="0"/>
                <w:color w:val="344054"/>
                <w:sz w:val="19"/>
              </w:rPr>
              <w:t>03 September 2026</w:t>
            </w:r>
          </w:p>
        </w:tc>
      </w:tr>
      <w:tr>
        <w:tc>
          <w:tcPr>
            <w:tcW w:type="dxa" w:w="2592"/>
            <w:shd w:val="clear" w:fill="F9FAFB"/>
          </w:tcPr>
          <w:p>
            <w:pPr>
              <w:spacing w:after="40" w:before="40"/>
            </w:pPr>
            <w:r/>
            <w:r>
              <w:rPr>
                <w:rFonts w:ascii="Calibri" w:hAnsi="Calibri"/>
                <w:b w:val="0"/>
                <w:color w:val="344054"/>
                <w:sz w:val="19"/>
              </w:rPr>
              <w:t>Prepared by</w:t>
            </w:r>
          </w:p>
        </w:tc>
        <w:tc>
          <w:tcPr>
            <w:tcW w:type="dxa" w:w="6912"/>
            <w:shd w:val="clear" w:fill="F9FAFB"/>
          </w:tcPr>
          <w:p>
            <w:pPr>
              <w:spacing w:after="40" w:before="40"/>
            </w:pPr>
            <w:r/>
            <w:r>
              <w:rPr>
                <w:rFonts w:ascii="Calibri" w:hAnsi="Calibri"/>
                <w:b w:val="0"/>
                <w:color w:val="344054"/>
                <w:sz w:val="19"/>
              </w:rPr>
              <w:t>TandSol</w:t>
            </w:r>
          </w:p>
        </w:tc>
      </w:tr>
      <w:tr>
        <w:tc>
          <w:tcPr>
            <w:tcW w:type="dxa" w:w="2592"/>
          </w:tcPr>
          <w:p>
            <w:pPr>
              <w:spacing w:after="40" w:before="40"/>
            </w:pPr>
            <w:r/>
            <w:r>
              <w:rPr>
                <w:rFonts w:ascii="Calibri" w:hAnsi="Calibri"/>
                <w:b w:val="0"/>
                <w:color w:val="344054"/>
                <w:sz w:val="19"/>
              </w:rPr>
              <w:t>Status</w:t>
            </w:r>
          </w:p>
        </w:tc>
        <w:tc>
          <w:tcPr>
            <w:tcW w:type="dxa" w:w="6912"/>
          </w:tcPr>
          <w:p>
            <w:pPr>
              <w:spacing w:after="40" w:before="40"/>
            </w:pPr>
            <w:r/>
            <w:r>
              <w:rPr>
                <w:rFonts w:ascii="Calibri" w:hAnsi="Calibri"/>
                <w:b w:val="0"/>
                <w:color w:val="344054"/>
                <w:sz w:val="19"/>
              </w:rPr>
              <w:t>Baselined</w:t>
            </w:r>
          </w:p>
        </w:tc>
      </w:tr>
      <w:tr>
        <w:tc>
          <w:tcPr>
            <w:tcW w:type="dxa" w:w="2592"/>
            <w:shd w:val="clear" w:fill="F9FAFB"/>
          </w:tcPr>
          <w:p>
            <w:pPr>
              <w:spacing w:after="40" w:before="40"/>
            </w:pPr>
            <w:r/>
            <w:r>
              <w:rPr>
                <w:rFonts w:ascii="Calibri" w:hAnsi="Calibri"/>
                <w:b w:val="0"/>
                <w:color w:val="344054"/>
                <w:sz w:val="19"/>
              </w:rPr>
              <w:t>Related documents</w:t>
            </w:r>
          </w:p>
        </w:tc>
        <w:tc>
          <w:tcPr>
            <w:tcW w:type="dxa" w:w="6912"/>
            <w:shd w:val="clear" w:fill="F9FAFB"/>
          </w:tcPr>
          <w:p>
            <w:pPr>
              <w:spacing w:after="40" w:before="40"/>
            </w:pPr>
            <w:r/>
            <w:r>
              <w:rPr>
                <w:rFonts w:ascii="Calibri" w:hAnsi="Calibri"/>
                <w:b w:val="0"/>
                <w:color w:val="344054"/>
                <w:sz w:val="19"/>
              </w:rPr>
              <w:t>AVSAR-HBK-001, AVSAR-PMP-003, AVSAR-RTM-004, AVSAR-SDD-005, AVSAR-CDR-006, AVSAR-RSK-007, AVSAR-TML-008, AVSAR-DPD-009, AVSAR-RET-010, AVSAR-QAB-011</w:t>
            </w:r>
          </w:p>
        </w:tc>
      </w:tr>
      <w:tr>
        <w:tc>
          <w:tcPr>
            <w:tcW w:type="dxa" w:w="2592"/>
          </w:tcPr>
          <w:p>
            <w:pPr>
              <w:spacing w:after="40" w:before="40"/>
            </w:pPr>
            <w:r/>
            <w:r>
              <w:rPr>
                <w:rFonts w:ascii="Calibri" w:hAnsi="Calibri"/>
                <w:b w:val="0"/>
                <w:color w:val="344054"/>
                <w:sz w:val="19"/>
              </w:rPr>
              <w:t>Classification</w:t>
            </w:r>
          </w:p>
        </w:tc>
        <w:tc>
          <w:tcPr>
            <w:tcW w:type="dxa" w:w="6912"/>
          </w:tcPr>
          <w:p>
            <w:pPr>
              <w:spacing w:after="40" w:before="40"/>
            </w:pPr>
            <w:r/>
            <w:r>
              <w:rPr>
                <w:rFonts w:ascii="Calibri" w:hAnsi="Calibri"/>
                <w:b w:val="0"/>
                <w:color w:val="344054"/>
                <w:sz w:val="19"/>
              </w:rPr>
              <w:t>Internal - Smart India Hackathon submission</w:t>
            </w:r>
          </w:p>
        </w:tc>
      </w:tr>
    </w:tbl>
    <w:p>
      <w:pPr>
        <w:spacing w:after="80"/>
      </w:pPr>
    </w:p>
    <w:p>
      <w:pPr>
        <w:pStyle w:val="Heading2"/>
      </w:pPr>
      <w:r>
        <w:t>Purpose of this document</w:t>
      </w:r>
    </w:p>
    <w:p>
      <w:r>
        <w:t>This Charter states why AVSAR exists, what it is authorised to change, what it will deliberately not attempt, who is accountable, and how success will be judged. It is the root of the traceability chain: every requirement in AVSAR-RTM-004 derives from an objective stated here, and every design decision in AVSAR-SDD-005 serves a requirement traced back to this document.</w:t>
      </w:r>
    </w:p>
    <w:p>
      <w:pPr>
        <w:pStyle w:val="Heading2"/>
      </w:pPr>
      <w:r>
        <w:t>Revision history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152"/>
            <w:shd w:val="clear" w:fill="0B2447"/>
          </w:tcPr>
          <w:p>
            <w:pPr>
              <w:spacing w:after="40" w:before="40"/>
            </w:pPr>
            <w:r/>
            <w:r>
              <w:rPr>
                <w:rFonts w:ascii="Calibri" w:hAnsi="Calibri"/>
                <w:b/>
                <w:color w:val="FFFFFF"/>
                <w:sz w:val="19"/>
              </w:rPr>
              <w:t>Version</w:t>
            </w:r>
          </w:p>
        </w:tc>
        <w:tc>
          <w:tcPr>
            <w:tcW w:type="dxa" w:w="1584"/>
            <w:shd w:val="clear" w:fill="0B2447"/>
          </w:tcPr>
          <w:p>
            <w:pPr>
              <w:spacing w:after="40" w:before="40"/>
            </w:pPr>
            <w:r/>
            <w:r>
              <w:rPr>
                <w:rFonts w:ascii="Calibri" w:hAnsi="Calibri"/>
                <w:b/>
                <w:color w:val="FFFFFF"/>
                <w:sz w:val="19"/>
              </w:rPr>
              <w:t>Date</w:t>
            </w:r>
          </w:p>
        </w:tc>
        <w:tc>
          <w:tcPr>
            <w:tcW w:type="dxa" w:w="1584"/>
            <w:shd w:val="clear" w:fill="0B2447"/>
          </w:tcPr>
          <w:p>
            <w:pPr>
              <w:spacing w:after="40" w:before="40"/>
            </w:pPr>
            <w:r/>
            <w:r>
              <w:rPr>
                <w:rFonts w:ascii="Calibri" w:hAnsi="Calibri"/>
                <w:b/>
                <w:color w:val="FFFFFF"/>
                <w:sz w:val="19"/>
              </w:rPr>
              <w:t>Author</w:t>
            </w:r>
          </w:p>
        </w:tc>
        <w:tc>
          <w:tcPr>
            <w:tcW w:type="dxa" w:w="5184"/>
            <w:shd w:val="clear" w:fill="0B2447"/>
          </w:tcPr>
          <w:p>
            <w:pPr>
              <w:spacing w:after="40" w:before="40"/>
            </w:pPr>
            <w:r/>
            <w:r>
              <w:rPr>
                <w:rFonts w:ascii="Calibri" w:hAnsi="Calibri"/>
                <w:b/>
                <w:color w:val="FFFFFF"/>
                <w:sz w:val="19"/>
              </w:rPr>
              <w:t>Change</w:t>
            </w:r>
          </w:p>
        </w:tc>
      </w:tr>
      <w:tr>
        <w:tc>
          <w:tcPr>
            <w:tcW w:type="dxa" w:w="1152"/>
          </w:tcPr>
          <w:p>
            <w:pPr>
              <w:spacing w:after="40" w:before="40"/>
            </w:pPr>
            <w:r/>
            <w:r>
              <w:rPr>
                <w:rFonts w:ascii="Calibri" w:hAnsi="Calibri"/>
                <w:b w:val="0"/>
                <w:color w:val="344054"/>
                <w:sz w:val="19"/>
              </w:rPr>
              <w:t>1.0</w:t>
            </w:r>
          </w:p>
        </w:tc>
        <w:tc>
          <w:tcPr>
            <w:tcW w:type="dxa" w:w="1584"/>
          </w:tcPr>
          <w:p>
            <w:pPr>
              <w:spacing w:after="40" w:before="40"/>
            </w:pPr>
            <w:r/>
            <w:r>
              <w:rPr>
                <w:rFonts w:ascii="Calibri" w:hAnsi="Calibri"/>
                <w:b w:val="0"/>
                <w:color w:val="344054"/>
                <w:sz w:val="19"/>
              </w:rPr>
              <w:t>03 Sep 2026</w:t>
            </w:r>
          </w:p>
        </w:tc>
        <w:tc>
          <w:tcPr>
            <w:tcW w:type="dxa" w:w="1584"/>
          </w:tcPr>
          <w:p>
            <w:pPr>
              <w:spacing w:after="40" w:before="40"/>
            </w:pPr>
            <w:r/>
            <w:r>
              <w:rPr>
                <w:rFonts w:ascii="Calibri" w:hAnsi="Calibri"/>
                <w:b w:val="0"/>
                <w:color w:val="344054"/>
                <w:sz w:val="19"/>
              </w:rPr>
              <w:t>TandSol</w:t>
            </w:r>
          </w:p>
        </w:tc>
        <w:tc>
          <w:tcPr>
            <w:tcW w:type="dxa" w:w="5184"/>
          </w:tcPr>
          <w:p>
            <w:pPr>
              <w:spacing w:after="40" w:before="40"/>
            </w:pPr>
            <w:r/>
            <w:r>
              <w:rPr>
                <w:rFonts w:ascii="Calibri" w:hAnsi="Calibri"/>
                <w:b w:val="0"/>
                <w:color w:val="344054"/>
                <w:sz w:val="19"/>
              </w:rPr>
              <w:t>Baseline for the Smart India Hackathon submission.</w:t>
            </w:r>
          </w:p>
        </w:tc>
      </w:tr>
    </w:tbl>
    <w:p>
      <w:pPr>
        <w:spacing w:after="80"/>
      </w:pPr>
    </w:p>
    <w:p>
      <w:pPr>
        <w:pStyle w:val="Heading2"/>
      </w:pPr>
      <w:r>
        <w:t>Approval</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880"/>
            <w:shd w:val="clear" w:fill="0B2447"/>
          </w:tcPr>
          <w:p>
            <w:pPr>
              <w:spacing w:after="40" w:before="40"/>
            </w:pPr>
            <w:r/>
            <w:r>
              <w:rPr>
                <w:rFonts w:ascii="Calibri" w:hAnsi="Calibri"/>
                <w:b/>
                <w:color w:val="FFFFFF"/>
                <w:sz w:val="19"/>
              </w:rPr>
              <w:t>Role</w:t>
            </w:r>
          </w:p>
        </w:tc>
        <w:tc>
          <w:tcPr>
            <w:tcW w:type="dxa" w:w="2592"/>
            <w:shd w:val="clear" w:fill="0B2447"/>
          </w:tcPr>
          <w:p>
            <w:pPr>
              <w:spacing w:after="40" w:before="40"/>
            </w:pPr>
            <w:r/>
            <w:r>
              <w:rPr>
                <w:rFonts w:ascii="Calibri" w:hAnsi="Calibri"/>
                <w:b/>
                <w:color w:val="FFFFFF"/>
                <w:sz w:val="19"/>
              </w:rPr>
              <w:t>Name</w:t>
            </w:r>
          </w:p>
        </w:tc>
        <w:tc>
          <w:tcPr>
            <w:tcW w:type="dxa" w:w="2160"/>
            <w:shd w:val="clear" w:fill="0B2447"/>
          </w:tcPr>
          <w:p>
            <w:pPr>
              <w:spacing w:after="40" w:before="40"/>
            </w:pPr>
            <w:r/>
            <w:r>
              <w:rPr>
                <w:rFonts w:ascii="Calibri" w:hAnsi="Calibri"/>
                <w:b/>
                <w:color w:val="FFFFFF"/>
                <w:sz w:val="19"/>
              </w:rPr>
              <w:t>Signature</w:t>
            </w:r>
          </w:p>
        </w:tc>
        <w:tc>
          <w:tcPr>
            <w:tcW w:type="dxa" w:w="1584"/>
            <w:shd w:val="clear" w:fill="0B2447"/>
          </w:tcPr>
          <w:p>
            <w:pPr>
              <w:spacing w:after="40" w:before="40"/>
            </w:pPr>
            <w:r/>
            <w:r>
              <w:rPr>
                <w:rFonts w:ascii="Calibri" w:hAnsi="Calibri"/>
                <w:b/>
                <w:color w:val="FFFFFF"/>
                <w:sz w:val="19"/>
              </w:rPr>
              <w:t>Date</w:t>
            </w:r>
          </w:p>
        </w:tc>
      </w:tr>
      <w:tr>
        <w:tc>
          <w:tcPr>
            <w:tcW w:type="dxa" w:w="2880"/>
          </w:tcPr>
          <w:p>
            <w:pPr>
              <w:spacing w:after="40" w:before="40"/>
            </w:pPr>
            <w:r/>
            <w:r>
              <w:rPr>
                <w:rFonts w:ascii="Calibri" w:hAnsi="Calibri"/>
                <w:b w:val="0"/>
                <w:color w:val="344054"/>
                <w:sz w:val="19"/>
              </w:rPr>
              <w:t>Sponsor</w:t>
            </w:r>
          </w:p>
        </w:tc>
        <w:tc>
          <w:tcPr>
            <w:tcW w:type="dxa" w:w="2592"/>
          </w:tcPr>
          <w:p>
            <w:pPr>
              <w:spacing w:after="40" w:before="40"/>
            </w:pPr>
            <w:r/>
            <w:r>
              <w:rPr>
                <w:rFonts w:ascii="Calibri" w:hAnsi="Calibri"/>
                <w:b w:val="0"/>
                <w:color w:val="344054"/>
                <w:sz w:val="19"/>
              </w:rPr>
              <w:t>Mission Director</w:t>
            </w:r>
          </w:p>
        </w:tc>
        <w:tc>
          <w:tcPr>
            <w:tcW w:type="dxa" w:w="2160"/>
          </w:tcPr>
          <w:p>
            <w:pPr>
              <w:spacing w:after="40" w:before="40"/>
            </w:pPr>
            <w:r/>
            <w:r>
              <w:rPr>
                <w:rFonts w:ascii="Calibri" w:hAnsi="Calibri"/>
                <w:b w:val="0"/>
                <w:color w:val="344054"/>
                <w:sz w:val="19"/>
              </w:rPr>
            </w:r>
          </w:p>
        </w:tc>
        <w:tc>
          <w:tcPr>
            <w:tcW w:type="dxa" w:w="1584"/>
          </w:tcPr>
          <w:p>
            <w:pPr>
              <w:spacing w:after="40" w:before="40"/>
            </w:pPr>
            <w:r/>
            <w:r>
              <w:rPr>
                <w:rFonts w:ascii="Calibri" w:hAnsi="Calibri"/>
                <w:b w:val="0"/>
                <w:color w:val="344054"/>
                <w:sz w:val="19"/>
              </w:rPr>
            </w:r>
          </w:p>
        </w:tc>
      </w:tr>
      <w:tr>
        <w:tc>
          <w:tcPr>
            <w:tcW w:type="dxa" w:w="2880"/>
            <w:shd w:val="clear" w:fill="F9FAFB"/>
          </w:tcPr>
          <w:p>
            <w:pPr>
              <w:spacing w:after="40" w:before="40"/>
            </w:pPr>
            <w:r/>
            <w:r>
              <w:rPr>
                <w:rFonts w:ascii="Calibri" w:hAnsi="Calibri"/>
                <w:b w:val="0"/>
                <w:color w:val="344054"/>
                <w:sz w:val="19"/>
              </w:rPr>
              <w:t>Project Manager</w:t>
            </w:r>
          </w:p>
        </w:tc>
        <w:tc>
          <w:tcPr>
            <w:tcW w:type="dxa" w:w="2592"/>
            <w:shd w:val="clear" w:fill="F9FAFB"/>
          </w:tcPr>
          <w:p>
            <w:pPr>
              <w:spacing w:after="40" w:before="40"/>
            </w:pPr>
            <w:r/>
            <w:r>
              <w:rPr>
                <w:rFonts w:ascii="Calibri" w:hAnsi="Calibri"/>
                <w:b w:val="0"/>
                <w:color w:val="344054"/>
                <w:sz w:val="19"/>
              </w:rPr>
              <w:t>TandSol</w:t>
            </w:r>
          </w:p>
        </w:tc>
        <w:tc>
          <w:tcPr>
            <w:tcW w:type="dxa" w:w="2160"/>
            <w:shd w:val="clear" w:fill="F9FAFB"/>
          </w:tcPr>
          <w:p>
            <w:pPr>
              <w:spacing w:after="40" w:before="40"/>
            </w:pPr>
            <w:r/>
            <w:r>
              <w:rPr>
                <w:rFonts w:ascii="Calibri" w:hAnsi="Calibri"/>
                <w:b w:val="0"/>
                <w:color w:val="344054"/>
                <w:sz w:val="19"/>
              </w:rPr>
            </w:r>
          </w:p>
        </w:tc>
        <w:tc>
          <w:tcPr>
            <w:tcW w:type="dxa" w:w="1584"/>
            <w:shd w:val="clear" w:fill="F9FAFB"/>
          </w:tcPr>
          <w:p>
            <w:pPr>
              <w:spacing w:after="40" w:before="40"/>
            </w:pPr>
            <w:r/>
            <w:r>
              <w:rPr>
                <w:rFonts w:ascii="Calibri" w:hAnsi="Calibri"/>
                <w:b w:val="0"/>
                <w:color w:val="344054"/>
                <w:sz w:val="19"/>
              </w:rPr>
            </w:r>
          </w:p>
        </w:tc>
      </w:tr>
      <w:tr>
        <w:tc>
          <w:tcPr>
            <w:tcW w:type="dxa" w:w="2880"/>
          </w:tcPr>
          <w:p>
            <w:pPr>
              <w:spacing w:after="40" w:before="40"/>
            </w:pPr>
            <w:r/>
            <w:r>
              <w:rPr>
                <w:rFonts w:ascii="Calibri" w:hAnsi="Calibri"/>
                <w:b w:val="0"/>
                <w:color w:val="344054"/>
                <w:sz w:val="19"/>
              </w:rPr>
              <w:t>Policy Lead</w:t>
            </w:r>
          </w:p>
        </w:tc>
        <w:tc>
          <w:tcPr>
            <w:tcW w:type="dxa" w:w="2592"/>
          </w:tcPr>
          <w:p>
            <w:pPr>
              <w:spacing w:after="40" w:before="40"/>
            </w:pPr>
            <w:r/>
            <w:r>
              <w:rPr>
                <w:rFonts w:ascii="Calibri" w:hAnsi="Calibri"/>
                <w:b w:val="0"/>
                <w:color w:val="344054"/>
                <w:sz w:val="19"/>
              </w:rPr>
              <w:t>Deputy Secretary (Innovation)</w:t>
            </w:r>
          </w:p>
        </w:tc>
        <w:tc>
          <w:tcPr>
            <w:tcW w:type="dxa" w:w="2160"/>
          </w:tcPr>
          <w:p>
            <w:pPr>
              <w:spacing w:after="40" w:before="40"/>
            </w:pPr>
            <w:r/>
            <w:r>
              <w:rPr>
                <w:rFonts w:ascii="Calibri" w:hAnsi="Calibri"/>
                <w:b w:val="0"/>
                <w:color w:val="344054"/>
                <w:sz w:val="19"/>
              </w:rPr>
            </w:r>
          </w:p>
        </w:tc>
        <w:tc>
          <w:tcPr>
            <w:tcW w:type="dxa" w:w="1584"/>
          </w:tcPr>
          <w:p>
            <w:pPr>
              <w:spacing w:after="40" w:before="40"/>
            </w:pPr>
            <w:r/>
            <w:r>
              <w:rPr>
                <w:rFonts w:ascii="Calibri" w:hAnsi="Calibri"/>
                <w:b w:val="0"/>
                <w:color w:val="344054"/>
                <w:sz w:val="19"/>
              </w:rPr>
            </w:r>
          </w:p>
        </w:tc>
      </w:tr>
    </w:tbl>
    <w:p>
      <w:pPr>
        <w:spacing w:after="80"/>
      </w:pPr>
    </w:p>
    <w:p>
      <w:r>
        <w:br w:type="page"/>
      </w:r>
    </w:p>
    <w:p>
      <w:pPr>
        <w:pStyle w:val="Heading1"/>
      </w:pPr>
      <w:r>
        <w:t>1. Problem statement</w:t>
      </w:r>
    </w:p>
    <w:p>
      <w:r>
        <w:t>Government departments in India cannot readily buy from startups. The obstacle is not policy hostility - the Government of India has actively encouraged startup participation since 2016 - but process design. Public procurement is built to buy known things safely, and every safeguard that makes it safe also excludes a young company before merit is ever considered.</w:t>
      </w:r>
    </w:p>
    <w:p>
      <w:r>
        <w:t>Three mechanisms do the excluding, in order of how often they bite:</w:t>
      </w:r>
    </w:p>
    <w:p>
      <w:pPr>
        <w:pStyle w:val="ListBullet"/>
        <w:spacing w:after="60"/>
      </w:pPr>
      <w:r>
        <w:rPr>
          <w:b/>
        </w:rPr>
        <w:t xml:space="preserve">Specification, not outcome. </w:t>
      </w:r>
      <w:r>
        <w:t>A tender's technical specification is written from what the market already sells. A genuinely different approach is non-responsive before it is read, so the process cannot discover anything it did not already know about.</w:t>
      </w:r>
    </w:p>
    <w:p>
      <w:pPr>
        <w:pStyle w:val="ListBullet"/>
        <w:spacing w:after="60"/>
      </w:pPr>
      <w:r>
        <w:rPr>
          <w:b/>
        </w:rPr>
        <w:t xml:space="preserve">Qualification by history. </w:t>
      </w:r>
      <w:r>
        <w:t>Bid qualification asks for prior turnover and prior experience of similar supply. A three-year-old company has neither, and no amount of technical merit substitutes for a five-year audited record.</w:t>
      </w:r>
    </w:p>
    <w:p>
      <w:pPr>
        <w:pStyle w:val="ListBullet"/>
        <w:spacing w:after="60"/>
      </w:pPr>
      <w:r>
        <w:rPr>
          <w:b/>
        </w:rPr>
        <w:t xml:space="preserve">No budget line for uncertainty. </w:t>
      </w:r>
      <w:r>
        <w:t>There is no safe, small, defensible way for a department to spend money finding out whether something unproven works. The choice is framed as buy or do not buy, so departments do not buy.</w:t>
      </w:r>
    </w:p>
    <w:p>
      <w:r>
        <w:t>Two consequences follow. Departments continue to buy solutions that do not move the numbers they are accountable for. And startups with working technology conclude that government is not a reachable market, so the public sector is served last by domestic innovation rather than first.</w:t>
      </w:r>
    </w:p>
    <w:tbl>
      <w:tblPr>
        <w:tblStyle w:val="TableGrid"/>
        <w:tblW w:type="auto" w:w="0"/>
        <w:tblLook w:firstColumn="1" w:firstRow="1" w:lastColumn="0" w:lastRow="0" w:noHBand="0" w:noVBand="1" w:val="04A0"/>
      </w:tblPr>
      <w:tblGrid>
        <w:gridCol w:w="9360"/>
      </w:tblGrid>
      <w:tr>
        <w:tc>
          <w:tcPr>
            <w:tcW w:type="dxa" w:w="9360"/>
            <w:shd w:val="clear" w:fill="F2F4F7"/>
          </w:tcPr>
          <w:p>
            <w:r/>
            <w:r>
              <w:rPr>
                <w:b/>
                <w:color w:val="0B2447"/>
                <w:sz w:val="19"/>
              </w:rPr>
              <w:t xml:space="preserve">The gap this Charter addresses:  </w:t>
            </w:r>
            <w:r>
              <w:rPr>
                <w:color w:val="344054"/>
                <w:sz w:val="19"/>
              </w:rPr>
              <w:t>The relaxations that would fix this already exist in law. GFR 2017 Rule 173(i) waives prior turnover and prior experience for recognised startups; Rule 170 exempts Earnest Money Deposit. The gap is not the rule. It is that the relaxation must be claimed, is applied inconsistently, and leaves no standard record that an auditor can rely on.</w:t>
            </w:r>
          </w:p>
        </w:tc>
      </w:tr>
    </w:tbl>
    <w:p>
      <w:pPr>
        <w:spacing w:after="80"/>
      </w:pPr>
    </w:p>
    <w:p>
      <w:pPr>
        <w:pStyle w:val="Heading1"/>
      </w:pPr>
      <w:r>
        <w:t>2. Project purpose and justification</w:t>
      </w:r>
    </w:p>
    <w:p>
      <w:r>
        <w:t>AVSAR delivers a single mechanism through which a government department can identify, pilot, procure and scale an innovative solution from an eligible startup, without any new statute or amendment. Its contribution is to apply the existing rules consistently and automatically, and to leave behind a record that survives audit.</w:t>
      </w:r>
    </w:p>
    <w:p>
      <w:r>
        <w:t>The justification rests on four points:</w:t>
      </w:r>
    </w:p>
    <w:p>
      <w:pPr>
        <w:pStyle w:val="ListBullet"/>
        <w:spacing w:after="60"/>
      </w:pPr>
      <w:r>
        <w:rPr>
          <w:b/>
        </w:rPr>
        <w:t xml:space="preserve">It requires no legislative change. </w:t>
      </w:r>
      <w:r>
        <w:t>Every relaxation applied and every route to award is drawn from the General Financial Rules 2017 or a standing notification. The project carries no legislative dependency and therefore no legislative timeline.</w:t>
      </w:r>
    </w:p>
    <w:p>
      <w:pPr>
        <w:pStyle w:val="ListBullet"/>
        <w:spacing w:after="60"/>
      </w:pPr>
      <w:r>
        <w:rPr>
          <w:b/>
        </w:rPr>
        <w:t xml:space="preserve">It makes uncertainty affordable. </w:t>
      </w:r>
      <w:r>
        <w:t>A capped, time-boxed, KPI-measured pilot converts an unbounded procurement risk into a bounded and budgeted one, with an exit that costs the department nothing if the KPIs are missed.</w:t>
      </w:r>
    </w:p>
    <w:p>
      <w:pPr>
        <w:pStyle w:val="ListBullet"/>
        <w:spacing w:after="60"/>
      </w:pPr>
      <w:r>
        <w:rPr>
          <w:b/>
        </w:rPr>
        <w:t xml:space="preserve">It makes a decision defensible. </w:t>
      </w:r>
      <w:r>
        <w:t>Eligibility is decided by statute rather than opinion; shortlists are produced by an explainable model; procurement rests on measured evidence under a named rule with a written justification on an append-only record.</w:t>
      </w:r>
    </w:p>
    <w:p>
      <w:pPr>
        <w:pStyle w:val="ListBullet"/>
        <w:spacing w:after="60"/>
      </w:pPr>
      <w:r>
        <w:rPr>
          <w:b/>
        </w:rPr>
        <w:t xml:space="preserve">It stops the country paying twice. </w:t>
      </w:r>
      <w:r>
        <w:t>A solution that clears a pilot is placed on a rate contract that any other department can draw down without repeating discovery, evaluation or pilot. This is where the compounding return lies.</w:t>
      </w:r>
    </w:p>
    <w:p>
      <w:pPr>
        <w:pStyle w:val="Heading1"/>
      </w:pPr>
      <w:r>
        <w:t>3. Objectives and success criteria</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576"/>
            <w:shd w:val="clear" w:fill="0B2447"/>
          </w:tcPr>
          <w:p>
            <w:pPr>
              <w:spacing w:after="40" w:before="40"/>
            </w:pPr>
            <w:r/>
            <w:r>
              <w:rPr>
                <w:rFonts w:ascii="Calibri" w:hAnsi="Calibri"/>
                <w:b/>
                <w:color w:val="FFFFFF"/>
                <w:sz w:val="19"/>
              </w:rPr>
              <w:t>#</w:t>
            </w:r>
          </w:p>
        </w:tc>
        <w:tc>
          <w:tcPr>
            <w:tcW w:type="dxa" w:w="2736"/>
            <w:shd w:val="clear" w:fill="0B2447"/>
          </w:tcPr>
          <w:p>
            <w:pPr>
              <w:spacing w:after="40" w:before="40"/>
            </w:pPr>
            <w:r/>
            <w:r>
              <w:rPr>
                <w:rFonts w:ascii="Calibri" w:hAnsi="Calibri"/>
                <w:b/>
                <w:color w:val="FFFFFF"/>
                <w:sz w:val="19"/>
              </w:rPr>
              <w:t>Objective</w:t>
            </w:r>
          </w:p>
        </w:tc>
        <w:tc>
          <w:tcPr>
            <w:tcW w:type="dxa" w:w="4464"/>
            <w:shd w:val="clear" w:fill="0B2447"/>
          </w:tcPr>
          <w:p>
            <w:pPr>
              <w:spacing w:after="40" w:before="40"/>
            </w:pPr>
            <w:r/>
            <w:r>
              <w:rPr>
                <w:rFonts w:ascii="Calibri" w:hAnsi="Calibri"/>
                <w:b/>
                <w:color w:val="FFFFFF"/>
                <w:sz w:val="19"/>
              </w:rPr>
              <w:t>How success is measured</w:t>
            </w:r>
          </w:p>
        </w:tc>
        <w:tc>
          <w:tcPr>
            <w:tcW w:type="dxa" w:w="1872"/>
            <w:shd w:val="clear" w:fill="0B2447"/>
          </w:tcPr>
          <w:p>
            <w:pPr>
              <w:spacing w:after="40" w:before="40"/>
            </w:pPr>
            <w:r/>
            <w:r>
              <w:rPr>
                <w:rFonts w:ascii="Calibri" w:hAnsi="Calibri"/>
                <w:b/>
                <w:color w:val="FFFFFF"/>
                <w:sz w:val="19"/>
              </w:rPr>
              <w:t>Target</w:t>
            </w:r>
          </w:p>
        </w:tc>
      </w:tr>
      <w:tr>
        <w:tc>
          <w:tcPr>
            <w:tcW w:type="dxa" w:w="576"/>
          </w:tcPr>
          <w:p>
            <w:pPr>
              <w:spacing w:after="40" w:before="40"/>
            </w:pPr>
            <w:r/>
            <w:r>
              <w:rPr>
                <w:rFonts w:ascii="Calibri" w:hAnsi="Calibri"/>
                <w:b w:val="0"/>
                <w:color w:val="344054"/>
                <w:sz w:val="19"/>
              </w:rPr>
              <w:t>O1</w:t>
            </w:r>
          </w:p>
        </w:tc>
        <w:tc>
          <w:tcPr>
            <w:tcW w:type="dxa" w:w="2736"/>
          </w:tcPr>
          <w:p>
            <w:pPr>
              <w:spacing w:after="40" w:before="40"/>
            </w:pPr>
            <w:r/>
            <w:r>
              <w:rPr>
                <w:rFonts w:ascii="Calibri" w:hAnsi="Calibri"/>
                <w:b w:val="0"/>
                <w:color w:val="344054"/>
                <w:sz w:val="19"/>
              </w:rPr>
              <w:t>Departments can express a need as an outcome rather than a specification</w:t>
            </w:r>
          </w:p>
        </w:tc>
        <w:tc>
          <w:tcPr>
            <w:tcW w:type="dxa" w:w="4464"/>
          </w:tcPr>
          <w:p>
            <w:pPr>
              <w:spacing w:after="40" w:before="40"/>
            </w:pPr>
            <w:r/>
            <w:r>
              <w:rPr>
                <w:rFonts w:ascii="Calibri" w:hAnsi="Calibri"/>
                <w:b w:val="0"/>
                <w:color w:val="344054"/>
                <w:sz w:val="19"/>
              </w:rPr>
              <w:t>Share of published problem statements carrying a declared baseline and at least one measurable KPI with a unit and a direction</w:t>
            </w:r>
          </w:p>
        </w:tc>
        <w:tc>
          <w:tcPr>
            <w:tcW w:type="dxa" w:w="1872"/>
          </w:tcPr>
          <w:p>
            <w:pPr>
              <w:spacing w:after="40" w:before="40"/>
            </w:pPr>
            <w:r/>
            <w:r>
              <w:rPr>
                <w:rFonts w:ascii="Calibri" w:hAnsi="Calibri"/>
                <w:b w:val="0"/>
                <w:color w:val="344054"/>
                <w:sz w:val="19"/>
              </w:rPr>
              <w:t>100% - the platform refuses to publish otherwise</w:t>
            </w:r>
          </w:p>
        </w:tc>
      </w:tr>
      <w:tr>
        <w:tc>
          <w:tcPr>
            <w:tcW w:type="dxa" w:w="576"/>
            <w:shd w:val="clear" w:fill="F9FAFB"/>
          </w:tcPr>
          <w:p>
            <w:pPr>
              <w:spacing w:after="40" w:before="40"/>
            </w:pPr>
            <w:r/>
            <w:r>
              <w:rPr>
                <w:rFonts w:ascii="Calibri" w:hAnsi="Calibri"/>
                <w:b w:val="0"/>
                <w:color w:val="344054"/>
                <w:sz w:val="19"/>
              </w:rPr>
              <w:t>O2</w:t>
            </w:r>
          </w:p>
        </w:tc>
        <w:tc>
          <w:tcPr>
            <w:tcW w:type="dxa" w:w="2736"/>
            <w:shd w:val="clear" w:fill="F9FAFB"/>
          </w:tcPr>
          <w:p>
            <w:pPr>
              <w:spacing w:after="40" w:before="40"/>
            </w:pPr>
            <w:r/>
            <w:r>
              <w:rPr>
                <w:rFonts w:ascii="Calibri" w:hAnsi="Calibri"/>
                <w:b w:val="0"/>
                <w:color w:val="344054"/>
                <w:sz w:val="19"/>
              </w:rPr>
              <w:t>Statutory eligibility is decided consistently and explainably</w:t>
            </w:r>
          </w:p>
        </w:tc>
        <w:tc>
          <w:tcPr>
            <w:tcW w:type="dxa" w:w="4464"/>
            <w:shd w:val="clear" w:fill="F9FAFB"/>
          </w:tcPr>
          <w:p>
            <w:pPr>
              <w:spacing w:after="40" w:before="40"/>
            </w:pPr>
            <w:r/>
            <w:r>
              <w:rPr>
                <w:rFonts w:ascii="Calibri" w:hAnsi="Calibri"/>
                <w:b w:val="0"/>
                <w:color w:val="344054"/>
                <w:sz w:val="19"/>
              </w:rPr>
              <w:t>Share of applications carrying a stored, itemised gate verdict citing the rule behind each check</w:t>
            </w:r>
          </w:p>
        </w:tc>
        <w:tc>
          <w:tcPr>
            <w:tcW w:type="dxa" w:w="1872"/>
            <w:shd w:val="clear" w:fill="F9FAFB"/>
          </w:tcPr>
          <w:p>
            <w:pPr>
              <w:spacing w:after="40" w:before="40"/>
            </w:pPr>
            <w:r/>
            <w:r>
              <w:rPr>
                <w:rFonts w:ascii="Calibri" w:hAnsi="Calibri"/>
                <w:b w:val="0"/>
                <w:color w:val="344054"/>
                <w:sz w:val="19"/>
              </w:rPr>
              <w:t>100%</w:t>
            </w:r>
          </w:p>
        </w:tc>
      </w:tr>
      <w:tr>
        <w:tc>
          <w:tcPr>
            <w:tcW w:type="dxa" w:w="576"/>
          </w:tcPr>
          <w:p>
            <w:pPr>
              <w:spacing w:after="40" w:before="40"/>
            </w:pPr>
            <w:r/>
            <w:r>
              <w:rPr>
                <w:rFonts w:ascii="Calibri" w:hAnsi="Calibri"/>
                <w:b w:val="0"/>
                <w:color w:val="344054"/>
                <w:sz w:val="19"/>
              </w:rPr>
              <w:t>O3</w:t>
            </w:r>
          </w:p>
        </w:tc>
        <w:tc>
          <w:tcPr>
            <w:tcW w:type="dxa" w:w="2736"/>
          </w:tcPr>
          <w:p>
            <w:pPr>
              <w:spacing w:after="40" w:before="40"/>
            </w:pPr>
            <w:r/>
            <w:r>
              <w:rPr>
                <w:rFonts w:ascii="Calibri" w:hAnsi="Calibri"/>
                <w:b w:val="0"/>
                <w:color w:val="344054"/>
                <w:sz w:val="19"/>
              </w:rPr>
              <w:t>The GFR relaxations reach every eligible applicant without being claimed</w:t>
            </w:r>
          </w:p>
        </w:tc>
        <w:tc>
          <w:tcPr>
            <w:tcW w:type="dxa" w:w="4464"/>
          </w:tcPr>
          <w:p>
            <w:pPr>
              <w:spacing w:after="40" w:before="40"/>
            </w:pPr>
            <w:r/>
            <w:r>
              <w:rPr>
                <w:rFonts w:ascii="Calibri" w:hAnsi="Calibri"/>
                <w:b w:val="0"/>
                <w:color w:val="344054"/>
                <w:sz w:val="19"/>
              </w:rPr>
              <w:t>Share of eligible applications with prior-turnover and prior-experience waiver recorded on the file</w:t>
            </w:r>
          </w:p>
        </w:tc>
        <w:tc>
          <w:tcPr>
            <w:tcW w:type="dxa" w:w="1872"/>
          </w:tcPr>
          <w:p>
            <w:pPr>
              <w:spacing w:after="40" w:before="40"/>
            </w:pPr>
            <w:r/>
            <w:r>
              <w:rPr>
                <w:rFonts w:ascii="Calibri" w:hAnsi="Calibri"/>
                <w:b w:val="0"/>
                <w:color w:val="344054"/>
                <w:sz w:val="19"/>
              </w:rPr>
              <w:t>100%</w:t>
            </w:r>
          </w:p>
        </w:tc>
      </w:tr>
      <w:tr>
        <w:tc>
          <w:tcPr>
            <w:tcW w:type="dxa" w:w="576"/>
            <w:shd w:val="clear" w:fill="F9FAFB"/>
          </w:tcPr>
          <w:p>
            <w:pPr>
              <w:spacing w:after="40" w:before="40"/>
            </w:pPr>
            <w:r/>
            <w:r>
              <w:rPr>
                <w:rFonts w:ascii="Calibri" w:hAnsi="Calibri"/>
                <w:b w:val="0"/>
                <w:color w:val="344054"/>
                <w:sz w:val="19"/>
              </w:rPr>
              <w:t>O4</w:t>
            </w:r>
          </w:p>
        </w:tc>
        <w:tc>
          <w:tcPr>
            <w:tcW w:type="dxa" w:w="2736"/>
            <w:shd w:val="clear" w:fill="F9FAFB"/>
          </w:tcPr>
          <w:p>
            <w:pPr>
              <w:spacing w:after="40" w:before="40"/>
            </w:pPr>
            <w:r/>
            <w:r>
              <w:rPr>
                <w:rFonts w:ascii="Calibri" w:hAnsi="Calibri"/>
                <w:b w:val="0"/>
                <w:color w:val="344054"/>
                <w:sz w:val="19"/>
              </w:rPr>
              <w:t>Uncertainty is resolved by evidence, not by argument</w:t>
            </w:r>
          </w:p>
        </w:tc>
        <w:tc>
          <w:tcPr>
            <w:tcW w:type="dxa" w:w="4464"/>
            <w:shd w:val="clear" w:fill="F9FAFB"/>
          </w:tcPr>
          <w:p>
            <w:pPr>
              <w:spacing w:after="40" w:before="40"/>
            </w:pPr>
            <w:r/>
            <w:r>
              <w:rPr>
                <w:rFonts w:ascii="Calibri" w:hAnsi="Calibri"/>
                <w:b w:val="0"/>
                <w:color w:val="344054"/>
                <w:sz w:val="19"/>
              </w:rPr>
              <w:t>Share of procurements linked to a pilot carrying a recorded verdict against pre-declared KPIs</w:t>
            </w:r>
          </w:p>
        </w:tc>
        <w:tc>
          <w:tcPr>
            <w:tcW w:type="dxa" w:w="1872"/>
            <w:shd w:val="clear" w:fill="F9FAFB"/>
          </w:tcPr>
          <w:p>
            <w:pPr>
              <w:spacing w:after="40" w:before="40"/>
            </w:pPr>
            <w:r/>
            <w:r>
              <w:rPr>
                <w:rFonts w:ascii="Calibri" w:hAnsi="Calibri"/>
                <w:b w:val="0"/>
                <w:color w:val="344054"/>
                <w:sz w:val="19"/>
              </w:rPr>
              <w:t>100% - the platform refuses otherwise</w:t>
            </w:r>
          </w:p>
        </w:tc>
      </w:tr>
      <w:tr>
        <w:tc>
          <w:tcPr>
            <w:tcW w:type="dxa" w:w="576"/>
          </w:tcPr>
          <w:p>
            <w:pPr>
              <w:spacing w:after="40" w:before="40"/>
            </w:pPr>
            <w:r/>
            <w:r>
              <w:rPr>
                <w:rFonts w:ascii="Calibri" w:hAnsi="Calibri"/>
                <w:b w:val="0"/>
                <w:color w:val="344054"/>
                <w:sz w:val="19"/>
              </w:rPr>
              <w:t>O5</w:t>
            </w:r>
          </w:p>
        </w:tc>
        <w:tc>
          <w:tcPr>
            <w:tcW w:type="dxa" w:w="2736"/>
          </w:tcPr>
          <w:p>
            <w:pPr>
              <w:spacing w:after="40" w:before="40"/>
            </w:pPr>
            <w:r/>
            <w:r>
              <w:rPr>
                <w:rFonts w:ascii="Calibri" w:hAnsi="Calibri"/>
                <w:b w:val="0"/>
                <w:color w:val="344054"/>
                <w:sz w:val="19"/>
              </w:rPr>
              <w:t>The cycle from published need to award is materially shorter than a conventional tender</w:t>
            </w:r>
          </w:p>
        </w:tc>
        <w:tc>
          <w:tcPr>
            <w:tcW w:type="dxa" w:w="4464"/>
          </w:tcPr>
          <w:p>
            <w:pPr>
              <w:spacing w:after="40" w:before="40"/>
            </w:pPr>
            <w:r/>
            <w:r>
              <w:rPr>
                <w:rFonts w:ascii="Calibri" w:hAnsi="Calibri"/>
                <w:b w:val="0"/>
                <w:color w:val="344054"/>
                <w:sz w:val="19"/>
              </w:rPr>
              <w:t>Median days from publication to procurement raised, against a 300-day benchmark for a comparable open tender</w:t>
            </w:r>
          </w:p>
        </w:tc>
        <w:tc>
          <w:tcPr>
            <w:tcW w:type="dxa" w:w="1872"/>
          </w:tcPr>
          <w:p>
            <w:pPr>
              <w:spacing w:after="40" w:before="40"/>
            </w:pPr>
            <w:r/>
            <w:r>
              <w:rPr>
                <w:rFonts w:ascii="Calibri" w:hAnsi="Calibri"/>
                <w:b w:val="0"/>
                <w:color w:val="344054"/>
                <w:sz w:val="19"/>
              </w:rPr>
              <w:t>Under 240 days</w:t>
            </w:r>
          </w:p>
        </w:tc>
      </w:tr>
      <w:tr>
        <w:tc>
          <w:tcPr>
            <w:tcW w:type="dxa" w:w="576"/>
            <w:shd w:val="clear" w:fill="F9FAFB"/>
          </w:tcPr>
          <w:p>
            <w:pPr>
              <w:spacing w:after="40" w:before="40"/>
            </w:pPr>
            <w:r/>
            <w:r>
              <w:rPr>
                <w:rFonts w:ascii="Calibri" w:hAnsi="Calibri"/>
                <w:b w:val="0"/>
                <w:color w:val="344054"/>
                <w:sz w:val="19"/>
              </w:rPr>
              <w:t>O6</w:t>
            </w:r>
          </w:p>
        </w:tc>
        <w:tc>
          <w:tcPr>
            <w:tcW w:type="dxa" w:w="2736"/>
            <w:shd w:val="clear" w:fill="F9FAFB"/>
          </w:tcPr>
          <w:p>
            <w:pPr>
              <w:spacing w:after="40" w:before="40"/>
            </w:pPr>
            <w:r/>
            <w:r>
              <w:rPr>
                <w:rFonts w:ascii="Calibri" w:hAnsi="Calibri"/>
                <w:b w:val="0"/>
                <w:color w:val="344054"/>
                <w:sz w:val="19"/>
              </w:rPr>
              <w:t>A proven solution is reused rather than re-tendered</w:t>
            </w:r>
          </w:p>
        </w:tc>
        <w:tc>
          <w:tcPr>
            <w:tcW w:type="dxa" w:w="4464"/>
            <w:shd w:val="clear" w:fill="F9FAFB"/>
          </w:tcPr>
          <w:p>
            <w:pPr>
              <w:spacing w:after="40" w:before="40"/>
            </w:pPr>
            <w:r/>
            <w:r>
              <w:rPr>
                <w:rFonts w:ascii="Calibri" w:hAnsi="Calibri"/>
                <w:b w:val="0"/>
                <w:color w:val="344054"/>
                <w:sz w:val="19"/>
              </w:rPr>
              <w:t>Cross-department adoptions per listing on the Proven Solutions Registry</w:t>
            </w:r>
          </w:p>
        </w:tc>
        <w:tc>
          <w:tcPr>
            <w:tcW w:type="dxa" w:w="1872"/>
            <w:shd w:val="clear" w:fill="F9FAFB"/>
          </w:tcPr>
          <w:p>
            <w:pPr>
              <w:spacing w:after="40" w:before="40"/>
            </w:pPr>
            <w:r/>
            <w:r>
              <w:rPr>
                <w:rFonts w:ascii="Calibri" w:hAnsi="Calibri"/>
                <w:b w:val="0"/>
                <w:color w:val="344054"/>
                <w:sz w:val="19"/>
              </w:rPr>
              <w:t>At least 2 within 12 months of listing</w:t>
            </w:r>
          </w:p>
        </w:tc>
      </w:tr>
      <w:tr>
        <w:tc>
          <w:tcPr>
            <w:tcW w:type="dxa" w:w="576"/>
          </w:tcPr>
          <w:p>
            <w:pPr>
              <w:spacing w:after="40" w:before="40"/>
            </w:pPr>
            <w:r/>
            <w:r>
              <w:rPr>
                <w:rFonts w:ascii="Calibri" w:hAnsi="Calibri"/>
                <w:b w:val="0"/>
                <w:color w:val="344054"/>
                <w:sz w:val="19"/>
              </w:rPr>
              <w:t>O7</w:t>
            </w:r>
          </w:p>
        </w:tc>
        <w:tc>
          <w:tcPr>
            <w:tcW w:type="dxa" w:w="2736"/>
          </w:tcPr>
          <w:p>
            <w:pPr>
              <w:spacing w:after="40" w:before="40"/>
            </w:pPr>
            <w:r/>
            <w:r>
              <w:rPr>
                <w:rFonts w:ascii="Calibri" w:hAnsi="Calibri"/>
                <w:b w:val="0"/>
                <w:color w:val="344054"/>
                <w:sz w:val="19"/>
              </w:rPr>
              <w:t>Payment discipline is visible and enforced</w:t>
            </w:r>
          </w:p>
        </w:tc>
        <w:tc>
          <w:tcPr>
            <w:tcW w:type="dxa" w:w="4464"/>
          </w:tcPr>
          <w:p>
            <w:pPr>
              <w:spacing w:after="40" w:before="40"/>
            </w:pPr>
            <w:r/>
            <w:r>
              <w:rPr>
                <w:rFonts w:ascii="Calibri" w:hAnsi="Calibri"/>
                <w:b w:val="0"/>
                <w:color w:val="344054"/>
                <w:sz w:val="19"/>
              </w:rPr>
              <w:t>Share of milestone payments settled inside the 45-day window under MSMED Act s.15</w:t>
            </w:r>
          </w:p>
        </w:tc>
        <w:tc>
          <w:tcPr>
            <w:tcW w:type="dxa" w:w="1872"/>
          </w:tcPr>
          <w:p>
            <w:pPr>
              <w:spacing w:after="40" w:before="40"/>
            </w:pPr>
            <w:r/>
            <w:r>
              <w:rPr>
                <w:rFonts w:ascii="Calibri" w:hAnsi="Calibri"/>
                <w:b w:val="0"/>
                <w:color w:val="344054"/>
                <w:sz w:val="19"/>
              </w:rPr>
              <w:t>At least 95%</w:t>
            </w:r>
          </w:p>
        </w:tc>
      </w:tr>
      <w:tr>
        <w:tc>
          <w:tcPr>
            <w:tcW w:type="dxa" w:w="576"/>
            <w:shd w:val="clear" w:fill="F9FAFB"/>
          </w:tcPr>
          <w:p>
            <w:pPr>
              <w:spacing w:after="40" w:before="40"/>
            </w:pPr>
            <w:r/>
            <w:r>
              <w:rPr>
                <w:rFonts w:ascii="Calibri" w:hAnsi="Calibri"/>
                <w:b w:val="0"/>
                <w:color w:val="344054"/>
                <w:sz w:val="19"/>
              </w:rPr>
              <w:t>O8</w:t>
            </w:r>
          </w:p>
        </w:tc>
        <w:tc>
          <w:tcPr>
            <w:tcW w:type="dxa" w:w="2736"/>
            <w:shd w:val="clear" w:fill="F9FAFB"/>
          </w:tcPr>
          <w:p>
            <w:pPr>
              <w:spacing w:after="40" w:before="40"/>
            </w:pPr>
            <w:r/>
            <w:r>
              <w:rPr>
                <w:rFonts w:ascii="Calibri" w:hAnsi="Calibri"/>
                <w:b w:val="0"/>
                <w:color w:val="344054"/>
                <w:sz w:val="19"/>
              </w:rPr>
              <w:t>First-time suppliers reach the public sector</w:t>
            </w:r>
          </w:p>
        </w:tc>
        <w:tc>
          <w:tcPr>
            <w:tcW w:type="dxa" w:w="4464"/>
            <w:shd w:val="clear" w:fill="F9FAFB"/>
          </w:tcPr>
          <w:p>
            <w:pPr>
              <w:spacing w:after="40" w:before="40"/>
            </w:pPr>
            <w:r/>
            <w:r>
              <w:rPr>
                <w:rFonts w:ascii="Calibri" w:hAnsi="Calibri"/>
                <w:b w:val="0"/>
                <w:color w:val="344054"/>
                <w:sz w:val="19"/>
              </w:rPr>
              <w:t>Share of contracts awarded to a supplier with no prior government order</w:t>
            </w:r>
          </w:p>
        </w:tc>
        <w:tc>
          <w:tcPr>
            <w:tcW w:type="dxa" w:w="1872"/>
            <w:shd w:val="clear" w:fill="F9FAFB"/>
          </w:tcPr>
          <w:p>
            <w:pPr>
              <w:spacing w:after="40" w:before="40"/>
            </w:pPr>
            <w:r/>
            <w:r>
              <w:rPr>
                <w:rFonts w:ascii="Calibri" w:hAnsi="Calibri"/>
                <w:b w:val="0"/>
                <w:color w:val="344054"/>
                <w:sz w:val="19"/>
              </w:rPr>
              <w:t>At least 40%</w:t>
            </w:r>
          </w:p>
        </w:tc>
      </w:tr>
      <w:tr>
        <w:tc>
          <w:tcPr>
            <w:tcW w:type="dxa" w:w="576"/>
          </w:tcPr>
          <w:p>
            <w:pPr>
              <w:spacing w:after="40" w:before="40"/>
            </w:pPr>
            <w:r/>
            <w:r>
              <w:rPr>
                <w:rFonts w:ascii="Calibri" w:hAnsi="Calibri"/>
                <w:b w:val="0"/>
                <w:color w:val="344054"/>
                <w:sz w:val="19"/>
              </w:rPr>
              <w:t>O9</w:t>
            </w:r>
          </w:p>
        </w:tc>
        <w:tc>
          <w:tcPr>
            <w:tcW w:type="dxa" w:w="2736"/>
          </w:tcPr>
          <w:p>
            <w:pPr>
              <w:spacing w:after="40" w:before="40"/>
            </w:pPr>
            <w:r/>
            <w:r>
              <w:rPr>
                <w:rFonts w:ascii="Calibri" w:hAnsi="Calibri"/>
                <w:b w:val="0"/>
                <w:color w:val="344054"/>
                <w:sz w:val="19"/>
              </w:rPr>
              <w:t>Every decision is auditable and tamper-evident</w:t>
            </w:r>
          </w:p>
        </w:tc>
        <w:tc>
          <w:tcPr>
            <w:tcW w:type="dxa" w:w="4464"/>
          </w:tcPr>
          <w:p>
            <w:pPr>
              <w:spacing w:after="40" w:before="40"/>
            </w:pPr>
            <w:r/>
            <w:r>
              <w:rPr>
                <w:rFonts w:ascii="Calibri" w:hAnsi="Calibri"/>
                <w:b w:val="0"/>
                <w:color w:val="344054"/>
                <w:sz w:val="19"/>
              </w:rPr>
              <w:t>Audit chain integrity verified across the full history</w:t>
            </w:r>
          </w:p>
        </w:tc>
        <w:tc>
          <w:tcPr>
            <w:tcW w:type="dxa" w:w="1872"/>
          </w:tcPr>
          <w:p>
            <w:pPr>
              <w:spacing w:after="40" w:before="40"/>
            </w:pPr>
            <w:r/>
            <w:r>
              <w:rPr>
                <w:rFonts w:ascii="Calibri" w:hAnsi="Calibri"/>
                <w:b w:val="0"/>
                <w:color w:val="344054"/>
                <w:sz w:val="19"/>
              </w:rPr>
              <w:t>Intact, continuously</w:t>
            </w:r>
          </w:p>
        </w:tc>
      </w:tr>
      <w:tr>
        <w:tc>
          <w:tcPr>
            <w:tcW w:type="dxa" w:w="576"/>
            <w:shd w:val="clear" w:fill="F9FAFB"/>
          </w:tcPr>
          <w:p>
            <w:pPr>
              <w:spacing w:after="40" w:before="40"/>
            </w:pPr>
            <w:r/>
            <w:r>
              <w:rPr>
                <w:rFonts w:ascii="Calibri" w:hAnsi="Calibri"/>
                <w:b w:val="0"/>
                <w:color w:val="344054"/>
                <w:sz w:val="19"/>
              </w:rPr>
              <w:t>O10</w:t>
            </w:r>
          </w:p>
        </w:tc>
        <w:tc>
          <w:tcPr>
            <w:tcW w:type="dxa" w:w="2736"/>
            <w:shd w:val="clear" w:fill="F9FAFB"/>
          </w:tcPr>
          <w:p>
            <w:pPr>
              <w:spacing w:after="40" w:before="40"/>
            </w:pPr>
            <w:r/>
            <w:r>
              <w:rPr>
                <w:rFonts w:ascii="Calibri" w:hAnsi="Calibri"/>
                <w:b w:val="0"/>
                <w:color w:val="344054"/>
                <w:sz w:val="19"/>
              </w:rPr>
              <w:t>The mechanism is accessible to every intended user</w:t>
            </w:r>
          </w:p>
        </w:tc>
        <w:tc>
          <w:tcPr>
            <w:tcW w:type="dxa" w:w="4464"/>
            <w:shd w:val="clear" w:fill="F9FAFB"/>
          </w:tcPr>
          <w:p>
            <w:pPr>
              <w:spacing w:after="40" w:before="40"/>
            </w:pPr>
            <w:r/>
            <w:r>
              <w:rPr>
                <w:rFonts w:ascii="Calibri" w:hAnsi="Calibri"/>
                <w:b w:val="0"/>
                <w:color w:val="344054"/>
                <w:sz w:val="19"/>
              </w:rPr>
              <w:t>Conformance with GIGW 3.0 and WCAG 2.1 level AA, independently assessed</w:t>
            </w:r>
          </w:p>
        </w:tc>
        <w:tc>
          <w:tcPr>
            <w:tcW w:type="dxa" w:w="1872"/>
            <w:shd w:val="clear" w:fill="F9FAFB"/>
          </w:tcPr>
          <w:p>
            <w:pPr>
              <w:spacing w:after="40" w:before="40"/>
            </w:pPr>
            <w:r/>
            <w:r>
              <w:rPr>
                <w:rFonts w:ascii="Calibri" w:hAnsi="Calibri"/>
                <w:b w:val="0"/>
                <w:color w:val="344054"/>
                <w:sz w:val="19"/>
              </w:rPr>
              <w:t>Level AA before live deployment</w:t>
            </w:r>
          </w:p>
        </w:tc>
      </w:tr>
    </w:tbl>
    <w:p>
      <w:pPr>
        <w:spacing w:after="80"/>
      </w:pPr>
    </w:p>
    <w:p>
      <w:pPr>
        <w:pStyle w:val="Heading1"/>
      </w:pPr>
      <w:r>
        <w:t>4. Scope</w:t>
      </w:r>
    </w:p>
    <w:p>
      <w:pPr>
        <w:pStyle w:val="Heading2"/>
      </w:pPr>
      <w:r>
        <w:t>4.1 In scope - Stage A, Assess</w:t>
      </w:r>
    </w:p>
    <w:p>
      <w:pPr>
        <w:pStyle w:val="ListBullet"/>
        <w:spacing w:after="60"/>
      </w:pPr>
      <w:r>
        <w:t>Outcome-based problem statement authoring: problem, background, quantified baseline, desired outcome, KPIs with target, unit and direction, sector, capability tags, technology readiness floor, pilot budget ceiling, pilot duration, indicative scale-up value and volume, deployment environment, data availability, intellectual property terms and security clearance requirement.</w:t>
      </w:r>
    </w:p>
    <w:p>
      <w:pPr>
        <w:pStyle w:val="ListBullet"/>
        <w:spacing w:after="60"/>
      </w:pPr>
      <w:r>
        <w:t>A permanent government file number issued on creation and carried through every downstream record.</w:t>
      </w:r>
    </w:p>
    <w:p>
      <w:pPr>
        <w:pStyle w:val="ListBullet"/>
        <w:spacing w:after="60"/>
      </w:pPr>
      <w:r>
        <w:t>Approval separated from authoring: a nodal officer drafts, only a department head publishes.</w:t>
      </w:r>
    </w:p>
    <w:p>
      <w:pPr>
        <w:pStyle w:val="ListBullet"/>
        <w:spacing w:after="60"/>
      </w:pPr>
      <w:r>
        <w:t>Publication to a public surface visible without authentication, with sector-matched notification to eligible startups.</w:t>
      </w:r>
    </w:p>
    <w:p>
      <w:pPr>
        <w:pStyle w:val="Heading2"/>
      </w:pPr>
      <w:r>
        <w:t>4.2 In scope - Stage V, Validate</w:t>
      </w:r>
    </w:p>
    <w:p>
      <w:pPr>
        <w:pStyle w:val="ListBullet"/>
        <w:spacing w:after="60"/>
      </w:pPr>
      <w:r>
        <w:t>Startup self-registration capturing DPIIT recognition, incorporation date, entity type, turnover, CIN, GSTIN and Udyam number.</w:t>
      </w:r>
    </w:p>
    <w:p>
      <w:pPr>
        <w:pStyle w:val="ListBullet"/>
        <w:spacing w:after="60"/>
      </w:pPr>
      <w:r>
        <w:t>An automatic statutory eligibility gate returning an itemised verdict, each check naming the rule it derives from.</w:t>
      </w:r>
    </w:p>
    <w:p>
      <w:pPr>
        <w:pStyle w:val="ListBullet"/>
        <w:spacing w:after="60"/>
      </w:pPr>
      <w:r>
        <w:t>A challenge fit gate on readiness floor, budget ceiling and timeline window.</w:t>
      </w:r>
    </w:p>
    <w:p>
      <w:pPr>
        <w:pStyle w:val="ListBullet"/>
        <w:spacing w:after="60"/>
      </w:pPr>
      <w:r>
        <w:t>Automatic application of the prior-turnover, prior-experience, EMD and tender-fee relaxations, recorded on the file.</w:t>
      </w:r>
    </w:p>
    <w:p>
      <w:pPr>
        <w:pStyle w:val="ListBullet"/>
        <w:spacing w:after="60"/>
      </w:pPr>
      <w:r>
        <w:t>Reverse discovery: a department searches the startup registry and receives an explainable ranking rather than waiting for applications.</w:t>
      </w:r>
    </w:p>
    <w:p>
      <w:pPr>
        <w:pStyle w:val="ListBullet"/>
        <w:spacing w:after="60"/>
      </w:pPr>
      <w:r>
        <w:t>Committee assignment with visible workload, a mandatory conflict-of-interest declaration, a blind first pass, two-envelope scoring at 70 and 30, a qualifying technical threshold, score immutability on submission, and a dispersion flag forcing reconciliation.</w:t>
      </w:r>
    </w:p>
    <w:p>
      <w:pPr>
        <w:pStyle w:val="Heading2"/>
      </w:pPr>
      <w:r>
        <w:t>4.3 In scope - Stage S, Sandbox</w:t>
      </w:r>
    </w:p>
    <w:p>
      <w:pPr>
        <w:pStyle w:val="ListBullet"/>
        <w:spacing w:after="60"/>
      </w:pPr>
      <w:r>
        <w:t>Pilot creation from a shortlisted application, validated against the published ceiling.</w:t>
      </w:r>
    </w:p>
    <w:p>
      <w:pPr>
        <w:pStyle w:val="ListBullet"/>
        <w:spacing w:after="60"/>
      </w:pPr>
      <w:r>
        <w:t>A pilot agreement recording scope, milestones, payment schedule, intellectual property ownership and exit terms.</w:t>
      </w:r>
    </w:p>
    <w:p>
      <w:pPr>
        <w:pStyle w:val="ListBullet"/>
        <w:spacing w:after="60"/>
      </w:pPr>
      <w:r>
        <w:t>A hard precondition that the DPDP Act 2023 data processing agreement is executed before a pilot may go live.</w:t>
      </w:r>
    </w:p>
    <w:p>
      <w:pPr>
        <w:pStyle w:val="ListBullet"/>
        <w:spacing w:after="60"/>
      </w:pPr>
      <w:r>
        <w:t>Milestone-linked payment release with payouts summing to exactly one hundred per cent, evidence submission and departmental acceptance or return.</w:t>
      </w:r>
    </w:p>
    <w:p>
      <w:pPr>
        <w:pStyle w:val="ListBullet"/>
        <w:spacing w:after="60"/>
      </w:pPr>
      <w:r>
        <w:t>Periodic KPI readings against the Stage A targets, attributed to the person who recorded them.</w:t>
      </w:r>
    </w:p>
    <w:p>
      <w:pPr>
        <w:pStyle w:val="ListBullet"/>
        <w:spacing w:after="60"/>
      </w:pPr>
      <w:r>
        <w:t>Automatic opening of a payment due within forty-five days on milestone acceptance.</w:t>
      </w:r>
    </w:p>
    <w:p>
      <w:pPr>
        <w:pStyle w:val="ListBullet"/>
        <w:spacing w:after="60"/>
      </w:pPr>
      <w:r>
        <w:t>A closure verdict of SUCCESS, PARTIAL or FAILED recorded by the pilot monitor or department head, with a written note.</w:t>
      </w:r>
    </w:p>
    <w:p>
      <w:pPr>
        <w:pStyle w:val="Heading2"/>
      </w:pPr>
      <w:r>
        <w:t>4.4 In scope - Stage A, Adopt</w:t>
      </w:r>
    </w:p>
    <w:p>
      <w:pPr>
        <w:pStyle w:val="ListBullet"/>
        <w:spacing w:after="60"/>
      </w:pPr>
      <w:r>
        <w:t>An evidence gate: no procurement may be drafted against a pilot without a recorded verdict.</w:t>
      </w:r>
    </w:p>
    <w:p>
      <w:pPr>
        <w:pStyle w:val="ListBullet"/>
        <w:spacing w:after="60"/>
      </w:pPr>
      <w:r>
        <w:t>Four procurement modes, each carrying the General Financial Rules provision it rests on.</w:t>
      </w:r>
    </w:p>
    <w:p>
      <w:pPr>
        <w:pStyle w:val="ListBullet"/>
        <w:spacing w:after="60"/>
      </w:pPr>
      <w:r>
        <w:t>A mandatory written justification placed on the audit record.</w:t>
      </w:r>
    </w:p>
    <w:p>
      <w:pPr>
        <w:pStyle w:val="ListBullet"/>
        <w:spacing w:after="60"/>
      </w:pPr>
      <w:r>
        <w:t>Sanction authority reserved to the department head.</w:t>
      </w:r>
    </w:p>
    <w:p>
      <w:pPr>
        <w:pStyle w:val="ListBullet"/>
        <w:spacing w:after="60"/>
      </w:pPr>
      <w:r>
        <w:t>Purchase order issue and payment release against a PFMS transaction reference.</w:t>
      </w:r>
    </w:p>
    <w:p>
      <w:pPr>
        <w:pStyle w:val="Heading2"/>
      </w:pPr>
      <w:r>
        <w:t>4.5 In scope - Stage R, Ramp-up</w:t>
      </w:r>
    </w:p>
    <w:p>
      <w:pPr>
        <w:pStyle w:val="ListBullet"/>
        <w:spacing w:after="60"/>
      </w:pPr>
      <w:r>
        <w:t>A Proven Solutions Registry listing solutions that cleared a pilot, with the measured KPIs attached.</w:t>
      </w:r>
    </w:p>
    <w:p>
      <w:pPr>
        <w:pStyle w:val="ListBullet"/>
        <w:spacing w:after="60"/>
      </w:pPr>
      <w:r>
        <w:t>A published rate contract with unit price, unit of measure and validity.</w:t>
      </w:r>
    </w:p>
    <w:p>
      <w:pPr>
        <w:pStyle w:val="ListBullet"/>
        <w:spacing w:after="60"/>
      </w:pPr>
      <w:r>
        <w:t>Single-action adoption by any other department, skipping discovery, evaluation and pilot, with automatic refusal once the rate contract lapses.</w:t>
      </w:r>
    </w:p>
    <w:p>
      <w:pPr>
        <w:pStyle w:val="Heading2"/>
      </w:pPr>
      <w:r>
        <w:t>4.6 In scope - cross-cutting</w:t>
      </w:r>
    </w:p>
    <w:p>
      <w:pPr>
        <w:pStyle w:val="ListBullet"/>
        <w:spacing w:after="60"/>
      </w:pPr>
      <w:r>
        <w:t>Seven roles with server-side authorisation and row-level ownership enforcement.</w:t>
      </w:r>
    </w:p>
    <w:p>
      <w:pPr>
        <w:pStyle w:val="ListBullet"/>
        <w:spacing w:after="60"/>
      </w:pPr>
      <w:r>
        <w:t>A hash-chained, append-only audit trail with full-chain verification exposed to the administrator and to audit.</w:t>
      </w:r>
    </w:p>
    <w:p>
      <w:pPr>
        <w:pStyle w:val="ListBullet"/>
        <w:spacing w:after="60"/>
      </w:pPr>
      <w:r>
        <w:t>A public transparency board publishing the conversion funnel including failures, cycle-time medians against a conventional-tender benchmark, sector and department activity, and payment SLA performance.</w:t>
      </w:r>
    </w:p>
    <w:p>
      <w:pPr>
        <w:pStyle w:val="ListBullet"/>
        <w:spacing w:after="60"/>
      </w:pPr>
      <w:r>
        <w:t>Grievance redressal with five declared categories and a fifteen-day SLA escalating to the department head.</w:t>
      </w:r>
    </w:p>
    <w:p>
      <w:pPr>
        <w:pStyle w:val="ListBullet"/>
        <w:spacing w:after="60"/>
      </w:pPr>
      <w:r>
        <w:t>In-app notification on every state change affecting a record the user owns or oversees.</w:t>
      </w:r>
    </w:p>
    <w:p>
      <w:pPr>
        <w:pStyle w:val="Heading2"/>
      </w:pPr>
      <w:r>
        <w:t>4.7 Explicitly out of scope for this release</w:t>
      </w:r>
    </w:p>
    <w:tbl>
      <w:tblPr>
        <w:tblStyle w:val="TableGrid"/>
        <w:tblW w:type="auto" w:w="0"/>
        <w:jc w:val="center"/>
        <w:tblLayout w:type="autofit"/>
        <w:tblLook w:firstColumn="1" w:firstRow="1" w:lastColumn="0" w:lastRow="0" w:noHBand="0" w:noVBand="1" w:val="04A0"/>
      </w:tblPr>
      <w:tblGrid>
        <w:gridCol w:w="4680"/>
        <w:gridCol w:w="4680"/>
      </w:tblGrid>
      <w:tr>
        <w:tc>
          <w:tcPr>
            <w:tcW w:type="dxa" w:w="3024"/>
            <w:shd w:val="clear" w:fill="0B2447"/>
          </w:tcPr>
          <w:p>
            <w:pPr>
              <w:spacing w:after="40" w:before="40"/>
            </w:pPr>
            <w:r/>
            <w:r>
              <w:rPr>
                <w:rFonts w:ascii="Calibri" w:hAnsi="Calibri"/>
                <w:b/>
                <w:color w:val="FFFFFF"/>
                <w:sz w:val="19"/>
              </w:rPr>
              <w:t>Excluded</w:t>
            </w:r>
          </w:p>
        </w:tc>
        <w:tc>
          <w:tcPr>
            <w:tcW w:type="dxa" w:w="6624"/>
            <w:shd w:val="clear" w:fill="0B2447"/>
          </w:tcPr>
          <w:p>
            <w:pPr>
              <w:spacing w:after="40" w:before="40"/>
            </w:pPr>
            <w:r/>
            <w:r>
              <w:rPr>
                <w:rFonts w:ascii="Calibri" w:hAnsi="Calibri"/>
                <w:b/>
                <w:color w:val="FFFFFF"/>
                <w:sz w:val="19"/>
              </w:rPr>
              <w:t>Reason</w:t>
            </w:r>
          </w:p>
        </w:tc>
      </w:tr>
      <w:tr>
        <w:tc>
          <w:tcPr>
            <w:tcW w:type="dxa" w:w="3024"/>
          </w:tcPr>
          <w:p>
            <w:pPr>
              <w:spacing w:after="40" w:before="40"/>
            </w:pPr>
            <w:r/>
            <w:r>
              <w:rPr>
                <w:rFonts w:ascii="Calibri" w:hAnsi="Calibri"/>
                <w:b w:val="0"/>
                <w:color w:val="344054"/>
                <w:sz w:val="19"/>
              </w:rPr>
              <w:t>Live verification against MCA, GSTN and the Udyam registry</w:t>
            </w:r>
          </w:p>
        </w:tc>
        <w:tc>
          <w:tcPr>
            <w:tcW w:type="dxa" w:w="6624"/>
          </w:tcPr>
          <w:p>
            <w:pPr>
              <w:spacing w:after="40" w:before="40"/>
            </w:pPr>
            <w:r/>
            <w:r>
              <w:rPr>
                <w:rFonts w:ascii="Calibri" w:hAnsi="Calibri"/>
                <w:b w:val="0"/>
                <w:color w:val="344054"/>
                <w:sz w:val="19"/>
              </w:rPr>
              <w:t>Requires onboarding to central systems, which is a governance process rather than an engineering task. The gate already records the declaration, the verdict and the rule, so a false claim is attributable. Live verification is a hard precondition for any live award.</w:t>
            </w:r>
          </w:p>
        </w:tc>
      </w:tr>
      <w:tr>
        <w:tc>
          <w:tcPr>
            <w:tcW w:type="dxa" w:w="3024"/>
            <w:shd w:val="clear" w:fill="F9FAFB"/>
          </w:tcPr>
          <w:p>
            <w:pPr>
              <w:spacing w:after="40" w:before="40"/>
            </w:pPr>
            <w:r/>
            <w:r>
              <w:rPr>
                <w:rFonts w:ascii="Calibri" w:hAnsi="Calibri"/>
                <w:b w:val="0"/>
                <w:color w:val="344054"/>
                <w:sz w:val="19"/>
              </w:rPr>
              <w:t>Live GeM, PFMS and CPPP integration</w:t>
            </w:r>
          </w:p>
        </w:tc>
        <w:tc>
          <w:tcPr>
            <w:tcW w:type="dxa" w:w="6624"/>
            <w:shd w:val="clear" w:fill="F9FAFB"/>
          </w:tcPr>
          <w:p>
            <w:pPr>
              <w:spacing w:after="40" w:before="40"/>
            </w:pPr>
            <w:r/>
            <w:r>
              <w:rPr>
                <w:rFonts w:ascii="Calibri" w:hAnsi="Calibri"/>
                <w:b w:val="0"/>
                <w:color w:val="344054"/>
                <w:sz w:val="19"/>
              </w:rPr>
              <w:t>Same dependency. Integration points are isolated behind named fields so a live adapter replaces a stub without schema change.</w:t>
            </w:r>
          </w:p>
        </w:tc>
      </w:tr>
      <w:tr>
        <w:tc>
          <w:tcPr>
            <w:tcW w:type="dxa" w:w="3024"/>
          </w:tcPr>
          <w:p>
            <w:pPr>
              <w:spacing w:after="40" w:before="40"/>
            </w:pPr>
            <w:r/>
            <w:r>
              <w:rPr>
                <w:rFonts w:ascii="Calibri" w:hAnsi="Calibri"/>
                <w:b w:val="0"/>
                <w:color w:val="344054"/>
                <w:sz w:val="19"/>
              </w:rPr>
              <w:t>Payment execution</w:t>
            </w:r>
          </w:p>
        </w:tc>
        <w:tc>
          <w:tcPr>
            <w:tcW w:type="dxa" w:w="6624"/>
          </w:tcPr>
          <w:p>
            <w:pPr>
              <w:spacing w:after="40" w:before="40"/>
            </w:pPr>
            <w:r/>
            <w:r>
              <w:rPr>
                <w:rFonts w:ascii="Calibri" w:hAnsi="Calibri"/>
                <w:b w:val="0"/>
                <w:color w:val="344054"/>
                <w:sz w:val="19"/>
              </w:rPr>
              <w:t>AVSAR records the obligation, the due date and the settlement reference. Money moves through PFMS and the treasury, which remain the systems of record.</w:t>
            </w:r>
          </w:p>
        </w:tc>
      </w:tr>
      <w:tr>
        <w:tc>
          <w:tcPr>
            <w:tcW w:type="dxa" w:w="3024"/>
            <w:shd w:val="clear" w:fill="F9FAFB"/>
          </w:tcPr>
          <w:p>
            <w:pPr>
              <w:spacing w:after="40" w:before="40"/>
            </w:pPr>
            <w:r/>
            <w:r>
              <w:rPr>
                <w:rFonts w:ascii="Calibri" w:hAnsi="Calibri"/>
                <w:b w:val="0"/>
                <w:color w:val="344054"/>
                <w:sz w:val="19"/>
              </w:rPr>
              <w:t>National single sign-on</w:t>
            </w:r>
          </w:p>
        </w:tc>
        <w:tc>
          <w:tcPr>
            <w:tcW w:type="dxa" w:w="6624"/>
            <w:shd w:val="clear" w:fill="F9FAFB"/>
          </w:tcPr>
          <w:p>
            <w:pPr>
              <w:spacing w:after="40" w:before="40"/>
            </w:pPr>
            <w:r/>
            <w:r>
              <w:rPr>
                <w:rFonts w:ascii="Calibri" w:hAnsi="Calibri"/>
                <w:b w:val="0"/>
                <w:color w:val="344054"/>
                <w:sz w:val="19"/>
              </w:rPr>
              <w:t>NIC single sign-on for officials and Startup India or DigiLocker federation for startups is a deployment-phase dependency.</w:t>
            </w:r>
          </w:p>
        </w:tc>
      </w:tr>
      <w:tr>
        <w:tc>
          <w:tcPr>
            <w:tcW w:type="dxa" w:w="3024"/>
          </w:tcPr>
          <w:p>
            <w:pPr>
              <w:spacing w:after="40" w:before="40"/>
            </w:pPr>
            <w:r/>
            <w:r>
              <w:rPr>
                <w:rFonts w:ascii="Calibri" w:hAnsi="Calibri"/>
                <w:b w:val="0"/>
                <w:color w:val="344054"/>
                <w:sz w:val="19"/>
              </w:rPr>
              <w:t>Machine learning in the decision path</w:t>
            </w:r>
          </w:p>
        </w:tc>
        <w:tc>
          <w:tcPr>
            <w:tcW w:type="dxa" w:w="6624"/>
          </w:tcPr>
          <w:p>
            <w:pPr>
              <w:spacing w:after="40" w:before="40"/>
            </w:pPr>
            <w:r/>
            <w:r>
              <w:rPr>
                <w:rFonts w:ascii="Calibri" w:hAnsi="Calibri"/>
                <w:b w:val="0"/>
                <w:color w:val="344054"/>
                <w:sz w:val="19"/>
              </w:rPr>
              <w:t>A deliberate exclusion, not a deferral. A shortlist must be explainable to a public auditor, so ranking uses a transparent weighted model that reports the reason for every point awarded.</w:t>
            </w:r>
          </w:p>
        </w:tc>
      </w:tr>
      <w:tr>
        <w:tc>
          <w:tcPr>
            <w:tcW w:type="dxa" w:w="3024"/>
            <w:shd w:val="clear" w:fill="F9FAFB"/>
          </w:tcPr>
          <w:p>
            <w:pPr>
              <w:spacing w:after="40" w:before="40"/>
            </w:pPr>
            <w:r/>
            <w:r>
              <w:rPr>
                <w:rFonts w:ascii="Calibri" w:hAnsi="Calibri"/>
                <w:b w:val="0"/>
                <w:color w:val="344054"/>
                <w:sz w:val="19"/>
              </w:rPr>
              <w:t>Multilingual interface</w:t>
            </w:r>
          </w:p>
        </w:tc>
        <w:tc>
          <w:tcPr>
            <w:tcW w:type="dxa" w:w="6624"/>
            <w:shd w:val="clear" w:fill="F9FAFB"/>
          </w:tcPr>
          <w:p>
            <w:pPr>
              <w:spacing w:after="40" w:before="40"/>
            </w:pPr>
            <w:r/>
            <w:r>
              <w:rPr>
                <w:rFonts w:ascii="Calibri" w:hAnsi="Calibri"/>
                <w:b w:val="0"/>
                <w:color w:val="344054"/>
                <w:sz w:val="19"/>
              </w:rPr>
              <w:t>English only in this release. Content is separated from components so a Hindi layer can be added without structural change. Blocking for live public deployment.</w:t>
            </w:r>
          </w:p>
        </w:tc>
      </w:tr>
      <w:tr>
        <w:tc>
          <w:tcPr>
            <w:tcW w:type="dxa" w:w="3024"/>
          </w:tcPr>
          <w:p>
            <w:pPr>
              <w:spacing w:after="40" w:before="40"/>
            </w:pPr>
            <w:r/>
            <w:r>
              <w:rPr>
                <w:rFonts w:ascii="Calibri" w:hAnsi="Calibri"/>
                <w:b w:val="0"/>
                <w:color w:val="344054"/>
                <w:sz w:val="19"/>
              </w:rPr>
              <w:t>Certified accessibility conformance</w:t>
            </w:r>
          </w:p>
        </w:tc>
        <w:tc>
          <w:tcPr>
            <w:tcW w:type="dxa" w:w="6624"/>
          </w:tcPr>
          <w:p>
            <w:pPr>
              <w:spacing w:after="40" w:before="40"/>
            </w:pPr>
            <w:r/>
            <w:r>
              <w:rPr>
                <w:rFonts w:ascii="Calibri" w:hAnsi="Calibri"/>
                <w:b w:val="0"/>
                <w:color w:val="344054"/>
                <w:sz w:val="19"/>
              </w:rPr>
              <w:t>Built to GIGW 3.0 and WCAG 2.1 AA and self-assessed, but not independently audited. No conformance claim is made.</w:t>
            </w:r>
          </w:p>
        </w:tc>
      </w:tr>
      <w:tr>
        <w:tc>
          <w:tcPr>
            <w:tcW w:type="dxa" w:w="3024"/>
            <w:shd w:val="clear" w:fill="F9FAFB"/>
          </w:tcPr>
          <w:p>
            <w:pPr>
              <w:spacing w:after="40" w:before="40"/>
            </w:pPr>
            <w:r/>
            <w:r>
              <w:rPr>
                <w:rFonts w:ascii="Calibri" w:hAnsi="Calibri"/>
                <w:b w:val="0"/>
                <w:color w:val="344054"/>
                <w:sz w:val="19"/>
              </w:rPr>
              <w:t>Reversal of a committee's scoring judgement</w:t>
            </w:r>
          </w:p>
        </w:tc>
        <w:tc>
          <w:tcPr>
            <w:tcW w:type="dxa" w:w="6624"/>
            <w:shd w:val="clear" w:fill="F9FAFB"/>
          </w:tcPr>
          <w:p>
            <w:pPr>
              <w:spacing w:after="40" w:before="40"/>
            </w:pPr>
            <w:r/>
            <w:r>
              <w:rPr>
                <w:rFonts w:ascii="Calibri" w:hAnsi="Calibri"/>
                <w:b w:val="0"/>
                <w:color w:val="344054"/>
                <w:sz w:val="19"/>
              </w:rPr>
              <w:t>Grievance redressal can require that reasons be stated, correct a gate result founded on a mistaken fact, and escalate a payment. It cannot substitute a different technical opinion.</w:t>
            </w:r>
          </w:p>
        </w:tc>
      </w:tr>
    </w:tbl>
    <w:p>
      <w:pPr>
        <w:spacing w:after="80"/>
      </w:pPr>
    </w:p>
    <w:p>
      <w:pPr>
        <w:pStyle w:val="Heading1"/>
      </w:pPr>
      <w:r>
        <w:t>5. Stakeholders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160"/>
            <w:shd w:val="clear" w:fill="0B2447"/>
          </w:tcPr>
          <w:p>
            <w:pPr>
              <w:spacing w:after="40" w:before="40"/>
            </w:pPr>
            <w:r/>
            <w:r>
              <w:rPr>
                <w:rFonts w:ascii="Calibri" w:hAnsi="Calibri"/>
                <w:b/>
                <w:color w:val="FFFFFF"/>
                <w:sz w:val="19"/>
              </w:rPr>
              <w:t>Stakeholder</w:t>
            </w:r>
          </w:p>
        </w:tc>
        <w:tc>
          <w:tcPr>
            <w:tcW w:type="dxa" w:w="3456"/>
            <w:shd w:val="clear" w:fill="0B2447"/>
          </w:tcPr>
          <w:p>
            <w:pPr>
              <w:spacing w:after="40" w:before="40"/>
            </w:pPr>
            <w:r/>
            <w:r>
              <w:rPr>
                <w:rFonts w:ascii="Calibri" w:hAnsi="Calibri"/>
                <w:b/>
                <w:color w:val="FFFFFF"/>
                <w:sz w:val="19"/>
              </w:rPr>
              <w:t>Interest</w:t>
            </w:r>
          </w:p>
        </w:tc>
        <w:tc>
          <w:tcPr>
            <w:tcW w:type="dxa" w:w="1152"/>
            <w:shd w:val="clear" w:fill="0B2447"/>
          </w:tcPr>
          <w:p>
            <w:pPr>
              <w:spacing w:after="40" w:before="40"/>
            </w:pPr>
            <w:r/>
            <w:r>
              <w:rPr>
                <w:rFonts w:ascii="Calibri" w:hAnsi="Calibri"/>
                <w:b/>
                <w:color w:val="FFFFFF"/>
                <w:sz w:val="19"/>
              </w:rPr>
              <w:t>Influence</w:t>
            </w:r>
          </w:p>
        </w:tc>
        <w:tc>
          <w:tcPr>
            <w:tcW w:type="dxa" w:w="2880"/>
            <w:shd w:val="clear" w:fill="0B2447"/>
          </w:tcPr>
          <w:p>
            <w:pPr>
              <w:spacing w:after="40" w:before="40"/>
            </w:pPr>
            <w:r/>
            <w:r>
              <w:rPr>
                <w:rFonts w:ascii="Calibri" w:hAnsi="Calibri"/>
                <w:b/>
                <w:color w:val="FFFFFF"/>
                <w:sz w:val="19"/>
              </w:rPr>
              <w:t>Engagement</w:t>
            </w:r>
          </w:p>
        </w:tc>
      </w:tr>
      <w:tr>
        <w:tc>
          <w:tcPr>
            <w:tcW w:type="dxa" w:w="2160"/>
          </w:tcPr>
          <w:p>
            <w:pPr>
              <w:spacing w:after="40" w:before="40"/>
            </w:pPr>
            <w:r/>
            <w:r>
              <w:rPr>
                <w:rFonts w:ascii="Calibri" w:hAnsi="Calibri"/>
                <w:b w:val="0"/>
                <w:color w:val="344054"/>
                <w:sz w:val="19"/>
              </w:rPr>
              <w:t>Sponsoring ministry or mission</w:t>
            </w:r>
          </w:p>
        </w:tc>
        <w:tc>
          <w:tcPr>
            <w:tcW w:type="dxa" w:w="3456"/>
          </w:tcPr>
          <w:p>
            <w:pPr>
              <w:spacing w:after="40" w:before="40"/>
            </w:pPr>
            <w:r/>
            <w:r>
              <w:rPr>
                <w:rFonts w:ascii="Calibri" w:hAnsi="Calibri"/>
                <w:b w:val="0"/>
                <w:color w:val="344054"/>
                <w:sz w:val="19"/>
              </w:rPr>
              <w:t>A mechanism that produces measurable outcomes and survives audit</w:t>
            </w:r>
          </w:p>
        </w:tc>
        <w:tc>
          <w:tcPr>
            <w:tcW w:type="dxa" w:w="1152"/>
          </w:tcPr>
          <w:p>
            <w:pPr>
              <w:spacing w:after="40" w:before="40"/>
            </w:pPr>
            <w:r/>
            <w:r>
              <w:rPr>
                <w:rFonts w:ascii="Calibri" w:hAnsi="Calibri"/>
                <w:b w:val="0"/>
                <w:color w:val="344054"/>
                <w:sz w:val="19"/>
              </w:rPr>
              <w:t>High</w:t>
            </w:r>
          </w:p>
        </w:tc>
        <w:tc>
          <w:tcPr>
            <w:tcW w:type="dxa" w:w="2880"/>
          </w:tcPr>
          <w:p>
            <w:pPr>
              <w:spacing w:after="40" w:before="40"/>
            </w:pPr>
            <w:r/>
            <w:r>
              <w:rPr>
                <w:rFonts w:ascii="Calibri" w:hAnsi="Calibri"/>
                <w:b w:val="0"/>
                <w:color w:val="344054"/>
                <w:sz w:val="19"/>
              </w:rPr>
              <w:t>Charter approval; monthly review of the transparency board</w:t>
            </w:r>
          </w:p>
        </w:tc>
      </w:tr>
      <w:tr>
        <w:tc>
          <w:tcPr>
            <w:tcW w:type="dxa" w:w="2160"/>
            <w:shd w:val="clear" w:fill="F9FAFB"/>
          </w:tcPr>
          <w:p>
            <w:pPr>
              <w:spacing w:after="40" w:before="40"/>
            </w:pPr>
            <w:r/>
            <w:r>
              <w:rPr>
                <w:rFonts w:ascii="Calibri" w:hAnsi="Calibri"/>
                <w:b w:val="0"/>
                <w:color w:val="344054"/>
                <w:sz w:val="19"/>
              </w:rPr>
              <w:t>Nodal officers</w:t>
            </w:r>
          </w:p>
        </w:tc>
        <w:tc>
          <w:tcPr>
            <w:tcW w:type="dxa" w:w="3456"/>
            <w:shd w:val="clear" w:fill="F9FAFB"/>
          </w:tcPr>
          <w:p>
            <w:pPr>
              <w:spacing w:after="40" w:before="40"/>
            </w:pPr>
            <w:r/>
            <w:r>
              <w:rPr>
                <w:rFonts w:ascii="Calibri" w:hAnsi="Calibri"/>
                <w:b w:val="0"/>
                <w:color w:val="344054"/>
                <w:sz w:val="19"/>
              </w:rPr>
              <w:t>A way to solve a problem they are accountable for without carrying process risk</w:t>
            </w:r>
          </w:p>
        </w:tc>
        <w:tc>
          <w:tcPr>
            <w:tcW w:type="dxa" w:w="1152"/>
            <w:shd w:val="clear" w:fill="F9FAFB"/>
          </w:tcPr>
          <w:p>
            <w:pPr>
              <w:spacing w:after="40" w:before="40"/>
            </w:pPr>
            <w:r/>
            <w:r>
              <w:rPr>
                <w:rFonts w:ascii="Calibri" w:hAnsi="Calibri"/>
                <w:b w:val="0"/>
                <w:color w:val="344054"/>
                <w:sz w:val="19"/>
              </w:rPr>
              <w:t>High</w:t>
            </w:r>
          </w:p>
        </w:tc>
        <w:tc>
          <w:tcPr>
            <w:tcW w:type="dxa" w:w="2880"/>
            <w:shd w:val="clear" w:fill="F9FAFB"/>
          </w:tcPr>
          <w:p>
            <w:pPr>
              <w:spacing w:after="40" w:before="40"/>
            </w:pPr>
            <w:r/>
            <w:r>
              <w:rPr>
                <w:rFonts w:ascii="Calibri" w:hAnsi="Calibri"/>
                <w:b w:val="0"/>
                <w:color w:val="344054"/>
                <w:sz w:val="19"/>
              </w:rPr>
              <w:t>Co-design of the authoring form; the primary daily users</w:t>
            </w:r>
          </w:p>
        </w:tc>
      </w:tr>
      <w:tr>
        <w:tc>
          <w:tcPr>
            <w:tcW w:type="dxa" w:w="2160"/>
          </w:tcPr>
          <w:p>
            <w:pPr>
              <w:spacing w:after="40" w:before="40"/>
            </w:pPr>
            <w:r/>
            <w:r>
              <w:rPr>
                <w:rFonts w:ascii="Calibri" w:hAnsi="Calibri"/>
                <w:b w:val="0"/>
                <w:color w:val="344054"/>
                <w:sz w:val="19"/>
              </w:rPr>
              <w:t>Department heads</w:t>
            </w:r>
          </w:p>
        </w:tc>
        <w:tc>
          <w:tcPr>
            <w:tcW w:type="dxa" w:w="3456"/>
          </w:tcPr>
          <w:p>
            <w:pPr>
              <w:spacing w:after="40" w:before="40"/>
            </w:pPr>
            <w:r/>
            <w:r>
              <w:rPr>
                <w:rFonts w:ascii="Calibri" w:hAnsi="Calibri"/>
                <w:b w:val="0"/>
                <w:color w:val="344054"/>
                <w:sz w:val="19"/>
              </w:rPr>
              <w:t>Defensible approval and sanction decisions</w:t>
            </w:r>
          </w:p>
        </w:tc>
        <w:tc>
          <w:tcPr>
            <w:tcW w:type="dxa" w:w="1152"/>
          </w:tcPr>
          <w:p>
            <w:pPr>
              <w:spacing w:after="40" w:before="40"/>
            </w:pPr>
            <w:r/>
            <w:r>
              <w:rPr>
                <w:rFonts w:ascii="Calibri" w:hAnsi="Calibri"/>
                <w:b w:val="0"/>
                <w:color w:val="344054"/>
                <w:sz w:val="19"/>
              </w:rPr>
              <w:t>High</w:t>
            </w:r>
          </w:p>
        </w:tc>
        <w:tc>
          <w:tcPr>
            <w:tcW w:type="dxa" w:w="2880"/>
          </w:tcPr>
          <w:p>
            <w:pPr>
              <w:spacing w:after="40" w:before="40"/>
            </w:pPr>
            <w:r/>
            <w:r>
              <w:rPr>
                <w:rFonts w:ascii="Calibri" w:hAnsi="Calibri"/>
                <w:b w:val="0"/>
                <w:color w:val="344054"/>
                <w:sz w:val="19"/>
              </w:rPr>
              <w:t>Approval and sanction authority is theirs alone</w:t>
            </w:r>
          </w:p>
        </w:tc>
      </w:tr>
      <w:tr>
        <w:tc>
          <w:tcPr>
            <w:tcW w:type="dxa" w:w="2160"/>
            <w:shd w:val="clear" w:fill="F9FAFB"/>
          </w:tcPr>
          <w:p>
            <w:pPr>
              <w:spacing w:after="40" w:before="40"/>
            </w:pPr>
            <w:r/>
            <w:r>
              <w:rPr>
                <w:rFonts w:ascii="Calibri" w:hAnsi="Calibri"/>
                <w:b w:val="0"/>
                <w:color w:val="344054"/>
                <w:sz w:val="19"/>
              </w:rPr>
              <w:t>Procurement officers</w:t>
            </w:r>
          </w:p>
        </w:tc>
        <w:tc>
          <w:tcPr>
            <w:tcW w:type="dxa" w:w="3456"/>
            <w:shd w:val="clear" w:fill="F9FAFB"/>
          </w:tcPr>
          <w:p>
            <w:pPr>
              <w:spacing w:after="40" w:before="40"/>
            </w:pPr>
            <w:r/>
            <w:r>
              <w:rPr>
                <w:rFonts w:ascii="Calibri" w:hAnsi="Calibri"/>
                <w:b w:val="0"/>
                <w:color w:val="344054"/>
                <w:sz w:val="19"/>
              </w:rPr>
              <w:t>A named rule for every award and a clean file</w:t>
            </w:r>
          </w:p>
        </w:tc>
        <w:tc>
          <w:tcPr>
            <w:tcW w:type="dxa" w:w="1152"/>
            <w:shd w:val="clear" w:fill="F9FAFB"/>
          </w:tcPr>
          <w:p>
            <w:pPr>
              <w:spacing w:after="40" w:before="40"/>
            </w:pPr>
            <w:r/>
            <w:r>
              <w:rPr>
                <w:rFonts w:ascii="Calibri" w:hAnsi="Calibri"/>
                <w:b w:val="0"/>
                <w:color w:val="344054"/>
                <w:sz w:val="19"/>
              </w:rPr>
              <w:t>High</w:t>
            </w:r>
          </w:p>
        </w:tc>
        <w:tc>
          <w:tcPr>
            <w:tcW w:type="dxa" w:w="2880"/>
            <w:shd w:val="clear" w:fill="F9FAFB"/>
          </w:tcPr>
          <w:p>
            <w:pPr>
              <w:spacing w:after="40" w:before="40"/>
            </w:pPr>
            <w:r/>
            <w:r>
              <w:rPr>
                <w:rFonts w:ascii="Calibri" w:hAnsi="Calibri"/>
                <w:b w:val="0"/>
                <w:color w:val="344054"/>
                <w:sz w:val="19"/>
              </w:rPr>
              <w:t>Mode and justification design</w:t>
            </w:r>
          </w:p>
        </w:tc>
      </w:tr>
      <w:tr>
        <w:tc>
          <w:tcPr>
            <w:tcW w:type="dxa" w:w="2160"/>
          </w:tcPr>
          <w:p>
            <w:pPr>
              <w:spacing w:after="40" w:before="40"/>
            </w:pPr>
            <w:r/>
            <w:r>
              <w:rPr>
                <w:rFonts w:ascii="Calibri" w:hAnsi="Calibri"/>
                <w:b w:val="0"/>
                <w:color w:val="344054"/>
                <w:sz w:val="19"/>
              </w:rPr>
              <w:t>Evaluators</w:t>
            </w:r>
          </w:p>
        </w:tc>
        <w:tc>
          <w:tcPr>
            <w:tcW w:type="dxa" w:w="3456"/>
          </w:tcPr>
          <w:p>
            <w:pPr>
              <w:spacing w:after="40" w:before="40"/>
            </w:pPr>
            <w:r/>
            <w:r>
              <w:rPr>
                <w:rFonts w:ascii="Calibri" w:hAnsi="Calibri"/>
                <w:b w:val="0"/>
                <w:color w:val="344054"/>
                <w:sz w:val="19"/>
              </w:rPr>
              <w:t>A bounded, fair scoring task with protected independence</w:t>
            </w:r>
          </w:p>
        </w:tc>
        <w:tc>
          <w:tcPr>
            <w:tcW w:type="dxa" w:w="1152"/>
          </w:tcPr>
          <w:p>
            <w:pPr>
              <w:spacing w:after="40" w:before="40"/>
            </w:pPr>
            <w:r/>
            <w:r>
              <w:rPr>
                <w:rFonts w:ascii="Calibri" w:hAnsi="Calibri"/>
                <w:b w:val="0"/>
                <w:color w:val="344054"/>
                <w:sz w:val="19"/>
              </w:rPr>
              <w:t>Medium</w:t>
            </w:r>
          </w:p>
        </w:tc>
        <w:tc>
          <w:tcPr>
            <w:tcW w:type="dxa" w:w="2880"/>
          </w:tcPr>
          <w:p>
            <w:pPr>
              <w:spacing w:after="40" w:before="40"/>
            </w:pPr>
            <w:r/>
            <w:r>
              <w:rPr>
                <w:rFonts w:ascii="Calibri" w:hAnsi="Calibri"/>
                <w:b w:val="0"/>
                <w:color w:val="344054"/>
                <w:sz w:val="19"/>
              </w:rPr>
              <w:t>Rubric design; conflict-of-interest process</w:t>
            </w:r>
          </w:p>
        </w:tc>
      </w:tr>
      <w:tr>
        <w:tc>
          <w:tcPr>
            <w:tcW w:type="dxa" w:w="2160"/>
            <w:shd w:val="clear" w:fill="F9FAFB"/>
          </w:tcPr>
          <w:p>
            <w:pPr>
              <w:spacing w:after="40" w:before="40"/>
            </w:pPr>
            <w:r/>
            <w:r>
              <w:rPr>
                <w:rFonts w:ascii="Calibri" w:hAnsi="Calibri"/>
                <w:b w:val="0"/>
                <w:color w:val="344054"/>
                <w:sz w:val="19"/>
              </w:rPr>
              <w:t>Startups</w:t>
            </w:r>
          </w:p>
        </w:tc>
        <w:tc>
          <w:tcPr>
            <w:tcW w:type="dxa" w:w="3456"/>
            <w:shd w:val="clear" w:fill="F9FAFB"/>
          </w:tcPr>
          <w:p>
            <w:pPr>
              <w:spacing w:after="40" w:before="40"/>
            </w:pPr>
            <w:r/>
            <w:r>
              <w:rPr>
                <w:rFonts w:ascii="Calibri" w:hAnsi="Calibri"/>
                <w:b w:val="0"/>
                <w:color w:val="344054"/>
                <w:sz w:val="19"/>
              </w:rPr>
              <w:t>A reachable route to a public-sector customer</w:t>
            </w:r>
          </w:p>
        </w:tc>
        <w:tc>
          <w:tcPr>
            <w:tcW w:type="dxa" w:w="1152"/>
            <w:shd w:val="clear" w:fill="F9FAFB"/>
          </w:tcPr>
          <w:p>
            <w:pPr>
              <w:spacing w:after="40" w:before="40"/>
            </w:pPr>
            <w:r/>
            <w:r>
              <w:rPr>
                <w:rFonts w:ascii="Calibri" w:hAnsi="Calibri"/>
                <w:b w:val="0"/>
                <w:color w:val="344054"/>
                <w:sz w:val="19"/>
              </w:rPr>
              <w:t>High</w:t>
            </w:r>
          </w:p>
        </w:tc>
        <w:tc>
          <w:tcPr>
            <w:tcW w:type="dxa" w:w="2880"/>
            <w:shd w:val="clear" w:fill="F9FAFB"/>
          </w:tcPr>
          <w:p>
            <w:pPr>
              <w:spacing w:after="40" w:before="40"/>
            </w:pPr>
            <w:r/>
            <w:r>
              <w:rPr>
                <w:rFonts w:ascii="Calibri" w:hAnsi="Calibri"/>
                <w:b w:val="0"/>
                <w:color w:val="344054"/>
                <w:sz w:val="19"/>
              </w:rPr>
              <w:t>Registration and application design; grievance route</w:t>
            </w:r>
          </w:p>
        </w:tc>
      </w:tr>
      <w:tr>
        <w:tc>
          <w:tcPr>
            <w:tcW w:type="dxa" w:w="2160"/>
          </w:tcPr>
          <w:p>
            <w:pPr>
              <w:spacing w:after="40" w:before="40"/>
            </w:pPr>
            <w:r/>
            <w:r>
              <w:rPr>
                <w:rFonts w:ascii="Calibri" w:hAnsi="Calibri"/>
                <w:b w:val="0"/>
                <w:color w:val="344054"/>
                <w:sz w:val="19"/>
              </w:rPr>
              <w:t>Comptroller and Auditor General</w:t>
            </w:r>
          </w:p>
        </w:tc>
        <w:tc>
          <w:tcPr>
            <w:tcW w:type="dxa" w:w="3456"/>
          </w:tcPr>
          <w:p>
            <w:pPr>
              <w:spacing w:after="40" w:before="40"/>
            </w:pPr>
            <w:r/>
            <w:r>
              <w:rPr>
                <w:rFonts w:ascii="Calibri" w:hAnsi="Calibri"/>
                <w:b w:val="0"/>
                <w:color w:val="344054"/>
                <w:sz w:val="19"/>
              </w:rPr>
              <w:t>Evidence sufficient to test whether public money was well spent</w:t>
            </w:r>
          </w:p>
        </w:tc>
        <w:tc>
          <w:tcPr>
            <w:tcW w:type="dxa" w:w="1152"/>
          </w:tcPr>
          <w:p>
            <w:pPr>
              <w:spacing w:after="40" w:before="40"/>
            </w:pPr>
            <w:r/>
            <w:r>
              <w:rPr>
                <w:rFonts w:ascii="Calibri" w:hAnsi="Calibri"/>
                <w:b w:val="0"/>
                <w:color w:val="344054"/>
                <w:sz w:val="19"/>
              </w:rPr>
              <w:t>High</w:t>
            </w:r>
          </w:p>
        </w:tc>
        <w:tc>
          <w:tcPr>
            <w:tcW w:type="dxa" w:w="2880"/>
          </w:tcPr>
          <w:p>
            <w:pPr>
              <w:spacing w:after="40" w:before="40"/>
            </w:pPr>
            <w:r/>
            <w:r>
              <w:rPr>
                <w:rFonts w:ascii="Calibri" w:hAnsi="Calibri"/>
                <w:b w:val="0"/>
                <w:color w:val="344054"/>
                <w:sz w:val="19"/>
              </w:rPr>
              <w:t>Audit trail and justification design</w:t>
            </w:r>
          </w:p>
        </w:tc>
      </w:tr>
      <w:tr>
        <w:tc>
          <w:tcPr>
            <w:tcW w:type="dxa" w:w="2160"/>
            <w:shd w:val="clear" w:fill="F9FAFB"/>
          </w:tcPr>
          <w:p>
            <w:pPr>
              <w:spacing w:after="40" w:before="40"/>
            </w:pPr>
            <w:r/>
            <w:r>
              <w:rPr>
                <w:rFonts w:ascii="Calibri" w:hAnsi="Calibri"/>
                <w:b w:val="0"/>
                <w:color w:val="344054"/>
                <w:sz w:val="19"/>
              </w:rPr>
              <w:t>Data Protection Board</w:t>
            </w:r>
          </w:p>
        </w:tc>
        <w:tc>
          <w:tcPr>
            <w:tcW w:type="dxa" w:w="3456"/>
            <w:shd w:val="clear" w:fill="F9FAFB"/>
          </w:tcPr>
          <w:p>
            <w:pPr>
              <w:spacing w:after="40" w:before="40"/>
            </w:pPr>
            <w:r/>
            <w:r>
              <w:rPr>
                <w:rFonts w:ascii="Calibri" w:hAnsi="Calibri"/>
                <w:b w:val="0"/>
                <w:color w:val="344054"/>
                <w:sz w:val="19"/>
              </w:rPr>
              <w:t>Lawful processing of personal data</w:t>
            </w:r>
          </w:p>
        </w:tc>
        <w:tc>
          <w:tcPr>
            <w:tcW w:type="dxa" w:w="1152"/>
            <w:shd w:val="clear" w:fill="F9FAFB"/>
          </w:tcPr>
          <w:p>
            <w:pPr>
              <w:spacing w:after="40" w:before="40"/>
            </w:pPr>
            <w:r/>
            <w:r>
              <w:rPr>
                <w:rFonts w:ascii="Calibri" w:hAnsi="Calibri"/>
                <w:b w:val="0"/>
                <w:color w:val="344054"/>
                <w:sz w:val="19"/>
              </w:rPr>
              <w:t>Medium</w:t>
            </w:r>
          </w:p>
        </w:tc>
        <w:tc>
          <w:tcPr>
            <w:tcW w:type="dxa" w:w="2880"/>
            <w:shd w:val="clear" w:fill="F9FAFB"/>
          </w:tcPr>
          <w:p>
            <w:pPr>
              <w:spacing w:after="40" w:before="40"/>
            </w:pPr>
            <w:r/>
            <w:r>
              <w:rPr>
                <w:rFonts w:ascii="Calibri" w:hAnsi="Calibri"/>
                <w:b w:val="0"/>
                <w:color w:val="344054"/>
                <w:sz w:val="19"/>
              </w:rPr>
              <w:t>DPDP tracker AVSAR-DPD-009 and the retention policy</w:t>
            </w:r>
          </w:p>
        </w:tc>
      </w:tr>
      <w:tr>
        <w:tc>
          <w:tcPr>
            <w:tcW w:type="dxa" w:w="2160"/>
          </w:tcPr>
          <w:p>
            <w:pPr>
              <w:spacing w:after="40" w:before="40"/>
            </w:pPr>
            <w:r/>
            <w:r>
              <w:rPr>
                <w:rFonts w:ascii="Calibri" w:hAnsi="Calibri"/>
                <w:b w:val="0"/>
                <w:color w:val="344054"/>
                <w:sz w:val="19"/>
              </w:rPr>
              <w:t>Citizens</w:t>
            </w:r>
          </w:p>
        </w:tc>
        <w:tc>
          <w:tcPr>
            <w:tcW w:type="dxa" w:w="3456"/>
          </w:tcPr>
          <w:p>
            <w:pPr>
              <w:spacing w:after="40" w:before="40"/>
            </w:pPr>
            <w:r/>
            <w:r>
              <w:rPr>
                <w:rFonts w:ascii="Calibri" w:hAnsi="Calibri"/>
                <w:b w:val="0"/>
                <w:color w:val="344054"/>
                <w:sz w:val="19"/>
              </w:rPr>
              <w:t>Public money spent on things that demonstrably work</w:t>
            </w:r>
          </w:p>
        </w:tc>
        <w:tc>
          <w:tcPr>
            <w:tcW w:type="dxa" w:w="1152"/>
          </w:tcPr>
          <w:p>
            <w:pPr>
              <w:spacing w:after="40" w:before="40"/>
            </w:pPr>
            <w:r/>
            <w:r>
              <w:rPr>
                <w:rFonts w:ascii="Calibri" w:hAnsi="Calibri"/>
                <w:b w:val="0"/>
                <w:color w:val="344054"/>
                <w:sz w:val="19"/>
              </w:rPr>
              <w:t>Medium</w:t>
            </w:r>
          </w:p>
        </w:tc>
        <w:tc>
          <w:tcPr>
            <w:tcW w:type="dxa" w:w="2880"/>
          </w:tcPr>
          <w:p>
            <w:pPr>
              <w:spacing w:after="40" w:before="40"/>
            </w:pPr>
            <w:r/>
            <w:r>
              <w:rPr>
                <w:rFonts w:ascii="Calibri" w:hAnsi="Calibri"/>
                <w:b w:val="0"/>
                <w:color w:val="344054"/>
                <w:sz w:val="19"/>
              </w:rPr>
              <w:t>The public transparency board, including published failures</w:t>
            </w:r>
          </w:p>
        </w:tc>
      </w:tr>
      <w:tr>
        <w:tc>
          <w:tcPr>
            <w:tcW w:type="dxa" w:w="2160"/>
            <w:shd w:val="clear" w:fill="F9FAFB"/>
          </w:tcPr>
          <w:p>
            <w:pPr>
              <w:spacing w:after="40" w:before="40"/>
            </w:pPr>
            <w:r/>
            <w:r>
              <w:rPr>
                <w:rFonts w:ascii="Calibri" w:hAnsi="Calibri"/>
                <w:b w:val="0"/>
                <w:color w:val="344054"/>
                <w:sz w:val="19"/>
              </w:rPr>
              <w:t>NIC and MeitY</w:t>
            </w:r>
          </w:p>
        </w:tc>
        <w:tc>
          <w:tcPr>
            <w:tcW w:type="dxa" w:w="3456"/>
            <w:shd w:val="clear" w:fill="F9FAFB"/>
          </w:tcPr>
          <w:p>
            <w:pPr>
              <w:spacing w:after="40" w:before="40"/>
            </w:pPr>
            <w:r/>
            <w:r>
              <w:rPr>
                <w:rFonts w:ascii="Calibri" w:hAnsi="Calibri"/>
                <w:b w:val="0"/>
                <w:color w:val="344054"/>
                <w:sz w:val="19"/>
              </w:rPr>
              <w:t>Security, hosting and interoperability with central systems</w:t>
            </w:r>
          </w:p>
        </w:tc>
        <w:tc>
          <w:tcPr>
            <w:tcW w:type="dxa" w:w="1152"/>
            <w:shd w:val="clear" w:fill="F9FAFB"/>
          </w:tcPr>
          <w:p>
            <w:pPr>
              <w:spacing w:after="40" w:before="40"/>
            </w:pPr>
            <w:r/>
            <w:r>
              <w:rPr>
                <w:rFonts w:ascii="Calibri" w:hAnsi="Calibri"/>
                <w:b w:val="0"/>
                <w:color w:val="344054"/>
                <w:sz w:val="19"/>
              </w:rPr>
              <w:t>Medium</w:t>
            </w:r>
          </w:p>
        </w:tc>
        <w:tc>
          <w:tcPr>
            <w:tcW w:type="dxa" w:w="2880"/>
            <w:shd w:val="clear" w:fill="F9FAFB"/>
          </w:tcPr>
          <w:p>
            <w:pPr>
              <w:spacing w:after="40" w:before="40"/>
            </w:pPr>
            <w:r/>
            <w:r>
              <w:rPr>
                <w:rFonts w:ascii="Calibri" w:hAnsi="Calibri"/>
                <w:b w:val="0"/>
                <w:color w:val="344054"/>
                <w:sz w:val="19"/>
              </w:rPr>
              <w:t>Deployment readiness phase</w:t>
            </w:r>
          </w:p>
        </w:tc>
      </w:tr>
    </w:tbl>
    <w:p>
      <w:pPr>
        <w:spacing w:after="80"/>
      </w:pPr>
    </w:p>
    <w:p>
      <w:pPr>
        <w:pStyle w:val="Heading1"/>
      </w:pPr>
      <w:r>
        <w:t>6. Assumptions, constraints and dependencies</w:t>
      </w:r>
    </w:p>
    <w:p>
      <w:pPr>
        <w:pStyle w:val="Heading2"/>
      </w:pPr>
      <w:r>
        <w:t>6.1 Assumptions</w:t>
      </w:r>
    </w:p>
    <w:p>
      <w:pPr>
        <w:pStyle w:val="ListBullet"/>
        <w:spacing w:after="60"/>
      </w:pPr>
      <w:r>
        <w:t>A participating department can identify at least one quantified problem for which it holds a baseline measurement.</w:t>
      </w:r>
    </w:p>
    <w:p>
      <w:pPr>
        <w:pStyle w:val="ListBullet"/>
        <w:spacing w:after="60"/>
      </w:pPr>
      <w:r>
        <w:t>A pilot budget of the order of thirty to seventy lakh rupees is available from a departmental innovation head without fresh appropriation.</w:t>
      </w:r>
    </w:p>
    <w:p>
      <w:pPr>
        <w:pStyle w:val="ListBullet"/>
        <w:spacing w:after="60"/>
      </w:pPr>
      <w:r>
        <w:t>Domain experts can be assembled into an evaluation committee within two weeks of applications closing.</w:t>
      </w:r>
    </w:p>
    <w:p>
      <w:pPr>
        <w:pStyle w:val="ListBullet"/>
        <w:spacing w:after="60"/>
      </w:pPr>
      <w:r>
        <w:t>DPIIT recognition data is authoritative for the statutory definition of a startup.</w:t>
      </w:r>
    </w:p>
    <w:p>
      <w:pPr>
        <w:pStyle w:val="ListBullet"/>
        <w:spacing w:after="60"/>
      </w:pPr>
      <w:r>
        <w:t>A department can grant a startup access to a live operational environment under a data processing agreement.</w:t>
      </w:r>
    </w:p>
    <w:p>
      <w:pPr>
        <w:pStyle w:val="Heading2"/>
      </w:pPr>
      <w:r>
        <w:t>6.2 Constraints</w:t>
      </w:r>
    </w:p>
    <w:p>
      <w:pPr>
        <w:pStyle w:val="ListBullet"/>
        <w:spacing w:after="60"/>
      </w:pPr>
      <w:r>
        <w:t>No new statute, rule amendment or notification may be required. Every step must rest on existing authority.</w:t>
      </w:r>
    </w:p>
    <w:p>
      <w:pPr>
        <w:pStyle w:val="ListBullet"/>
        <w:spacing w:after="60"/>
      </w:pPr>
      <w:r>
        <w:t>Sanction and approval authority may not be altered; the platform must work within existing delegation of financial powers.</w:t>
      </w:r>
    </w:p>
    <w:p>
      <w:pPr>
        <w:pStyle w:val="ListBullet"/>
        <w:spacing w:after="60"/>
      </w:pPr>
      <w:r>
        <w:t>Audit logs must be retained for one hundred and eighty days within Indian jurisdiction.</w:t>
      </w:r>
    </w:p>
    <w:p>
      <w:pPr>
        <w:pStyle w:val="ListBullet"/>
        <w:spacing w:after="60"/>
      </w:pPr>
      <w:r>
        <w:t>The interface must target GIGW 3.0 and WCAG 2.1 level AA.</w:t>
      </w:r>
    </w:p>
    <w:p>
      <w:pPr>
        <w:pStyle w:val="ListBullet"/>
        <w:spacing w:after="60"/>
      </w:pPr>
      <w:r>
        <w:t>No credential, secret or personal data may be committed to the repository.</w:t>
      </w:r>
    </w:p>
    <w:p>
      <w:pPr>
        <w:pStyle w:val="Heading2"/>
      </w:pPr>
      <w:r>
        <w:t>6.3 Dependencies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4608"/>
            <w:shd w:val="clear" w:fill="0B2447"/>
          </w:tcPr>
          <w:p>
            <w:pPr>
              <w:spacing w:after="40" w:before="40"/>
            </w:pPr>
            <w:r/>
            <w:r>
              <w:rPr>
                <w:rFonts w:ascii="Calibri" w:hAnsi="Calibri"/>
                <w:b/>
                <w:color w:val="FFFFFF"/>
                <w:sz w:val="19"/>
              </w:rPr>
              <w:t>Dependency</w:t>
            </w:r>
          </w:p>
        </w:tc>
        <w:tc>
          <w:tcPr>
            <w:tcW w:type="dxa" w:w="2880"/>
            <w:shd w:val="clear" w:fill="0B2447"/>
          </w:tcPr>
          <w:p>
            <w:pPr>
              <w:spacing w:after="40" w:before="40"/>
            </w:pPr>
            <w:r/>
            <w:r>
              <w:rPr>
                <w:rFonts w:ascii="Calibri" w:hAnsi="Calibri"/>
                <w:b/>
                <w:color w:val="FFFFFF"/>
                <w:sz w:val="19"/>
              </w:rPr>
              <w:t>Owner</w:t>
            </w:r>
          </w:p>
        </w:tc>
        <w:tc>
          <w:tcPr>
            <w:tcW w:type="dxa" w:w="2160"/>
            <w:shd w:val="clear" w:fill="0B2447"/>
          </w:tcPr>
          <w:p>
            <w:pPr>
              <w:spacing w:after="40" w:before="40"/>
            </w:pPr>
            <w:r/>
            <w:r>
              <w:rPr>
                <w:rFonts w:ascii="Calibri" w:hAnsi="Calibri"/>
                <w:b/>
                <w:color w:val="FFFFFF"/>
                <w:sz w:val="19"/>
              </w:rPr>
              <w:t>Needed by</w:t>
            </w:r>
          </w:p>
        </w:tc>
      </w:tr>
      <w:tr>
        <w:tc>
          <w:tcPr>
            <w:tcW w:type="dxa" w:w="4608"/>
          </w:tcPr>
          <w:p>
            <w:pPr>
              <w:spacing w:after="40" w:before="40"/>
            </w:pPr>
            <w:r/>
            <w:r>
              <w:rPr>
                <w:rFonts w:ascii="Calibri" w:hAnsi="Calibri"/>
                <w:b w:val="0"/>
                <w:color w:val="344054"/>
                <w:sz w:val="19"/>
              </w:rPr>
              <w:t>MCA, GSTN and Udyam verification API access</w:t>
            </w:r>
          </w:p>
        </w:tc>
        <w:tc>
          <w:tcPr>
            <w:tcW w:type="dxa" w:w="2880"/>
          </w:tcPr>
          <w:p>
            <w:pPr>
              <w:spacing w:after="40" w:before="40"/>
            </w:pPr>
            <w:r/>
            <w:r>
              <w:rPr>
                <w:rFonts w:ascii="Calibri" w:hAnsi="Calibri"/>
                <w:b w:val="0"/>
                <w:color w:val="344054"/>
                <w:sz w:val="19"/>
              </w:rPr>
              <w:t>NIC / MeitY</w:t>
            </w:r>
          </w:p>
        </w:tc>
        <w:tc>
          <w:tcPr>
            <w:tcW w:type="dxa" w:w="2160"/>
          </w:tcPr>
          <w:p>
            <w:pPr>
              <w:spacing w:after="40" w:before="40"/>
            </w:pPr>
            <w:r/>
            <w:r>
              <w:rPr>
                <w:rFonts w:ascii="Calibri" w:hAnsi="Calibri"/>
                <w:b w:val="0"/>
                <w:color w:val="344054"/>
                <w:sz w:val="19"/>
              </w:rPr>
              <w:t>Before any live award</w:t>
            </w:r>
          </w:p>
        </w:tc>
      </w:tr>
      <w:tr>
        <w:tc>
          <w:tcPr>
            <w:tcW w:type="dxa" w:w="4608"/>
            <w:shd w:val="clear" w:fill="F9FAFB"/>
          </w:tcPr>
          <w:p>
            <w:pPr>
              <w:spacing w:after="40" w:before="40"/>
            </w:pPr>
            <w:r/>
            <w:r>
              <w:rPr>
                <w:rFonts w:ascii="Calibri" w:hAnsi="Calibri"/>
                <w:b w:val="0"/>
                <w:color w:val="344054"/>
                <w:sz w:val="19"/>
              </w:rPr>
              <w:t>GeM seller and contract API onboarding</w:t>
            </w:r>
          </w:p>
        </w:tc>
        <w:tc>
          <w:tcPr>
            <w:tcW w:type="dxa" w:w="2880"/>
            <w:shd w:val="clear" w:fill="F9FAFB"/>
          </w:tcPr>
          <w:p>
            <w:pPr>
              <w:spacing w:after="40" w:before="40"/>
            </w:pPr>
            <w:r/>
            <w:r>
              <w:rPr>
                <w:rFonts w:ascii="Calibri" w:hAnsi="Calibri"/>
                <w:b w:val="0"/>
                <w:color w:val="344054"/>
                <w:sz w:val="19"/>
              </w:rPr>
              <w:t>GeM</w:t>
            </w:r>
          </w:p>
        </w:tc>
        <w:tc>
          <w:tcPr>
            <w:tcW w:type="dxa" w:w="2160"/>
            <w:shd w:val="clear" w:fill="F9FAFB"/>
          </w:tcPr>
          <w:p>
            <w:pPr>
              <w:spacing w:after="40" w:before="40"/>
            </w:pPr>
            <w:r/>
            <w:r>
              <w:rPr>
                <w:rFonts w:ascii="Calibri" w:hAnsi="Calibri"/>
                <w:b w:val="0"/>
                <w:color w:val="344054"/>
                <w:sz w:val="19"/>
              </w:rPr>
              <w:t>Phase 2</w:t>
            </w:r>
          </w:p>
        </w:tc>
      </w:tr>
      <w:tr>
        <w:tc>
          <w:tcPr>
            <w:tcW w:type="dxa" w:w="4608"/>
          </w:tcPr>
          <w:p>
            <w:pPr>
              <w:spacing w:after="40" w:before="40"/>
            </w:pPr>
            <w:r/>
            <w:r>
              <w:rPr>
                <w:rFonts w:ascii="Calibri" w:hAnsi="Calibri"/>
                <w:b w:val="0"/>
                <w:color w:val="344054"/>
                <w:sz w:val="19"/>
              </w:rPr>
              <w:t>PFMS payment status integration</w:t>
            </w:r>
          </w:p>
        </w:tc>
        <w:tc>
          <w:tcPr>
            <w:tcW w:type="dxa" w:w="2880"/>
          </w:tcPr>
          <w:p>
            <w:pPr>
              <w:spacing w:after="40" w:before="40"/>
            </w:pPr>
            <w:r/>
            <w:r>
              <w:rPr>
                <w:rFonts w:ascii="Calibri" w:hAnsi="Calibri"/>
                <w:b w:val="0"/>
                <w:color w:val="344054"/>
                <w:sz w:val="19"/>
              </w:rPr>
              <w:t>Controller General of Accounts</w:t>
            </w:r>
          </w:p>
        </w:tc>
        <w:tc>
          <w:tcPr>
            <w:tcW w:type="dxa" w:w="2160"/>
          </w:tcPr>
          <w:p>
            <w:pPr>
              <w:spacing w:after="40" w:before="40"/>
            </w:pPr>
            <w:r/>
            <w:r>
              <w:rPr>
                <w:rFonts w:ascii="Calibri" w:hAnsi="Calibri"/>
                <w:b w:val="0"/>
                <w:color w:val="344054"/>
                <w:sz w:val="19"/>
              </w:rPr>
              <w:t>Phase 2</w:t>
            </w:r>
          </w:p>
        </w:tc>
      </w:tr>
      <w:tr>
        <w:tc>
          <w:tcPr>
            <w:tcW w:type="dxa" w:w="4608"/>
            <w:shd w:val="clear" w:fill="F9FAFB"/>
          </w:tcPr>
          <w:p>
            <w:pPr>
              <w:spacing w:after="40" w:before="40"/>
            </w:pPr>
            <w:r/>
            <w:r>
              <w:rPr>
                <w:rFonts w:ascii="Calibri" w:hAnsi="Calibri"/>
                <w:b w:val="0"/>
                <w:color w:val="344054"/>
                <w:sz w:val="19"/>
              </w:rPr>
              <w:t>NIC single sign-on for departmental users</w:t>
            </w:r>
          </w:p>
        </w:tc>
        <w:tc>
          <w:tcPr>
            <w:tcW w:type="dxa" w:w="2880"/>
            <w:shd w:val="clear" w:fill="F9FAFB"/>
          </w:tcPr>
          <w:p>
            <w:pPr>
              <w:spacing w:after="40" w:before="40"/>
            </w:pPr>
            <w:r/>
            <w:r>
              <w:rPr>
                <w:rFonts w:ascii="Calibri" w:hAnsi="Calibri"/>
                <w:b w:val="0"/>
                <w:color w:val="344054"/>
                <w:sz w:val="19"/>
              </w:rPr>
              <w:t>NIC</w:t>
            </w:r>
          </w:p>
        </w:tc>
        <w:tc>
          <w:tcPr>
            <w:tcW w:type="dxa" w:w="2160"/>
            <w:shd w:val="clear" w:fill="F9FAFB"/>
          </w:tcPr>
          <w:p>
            <w:pPr>
              <w:spacing w:after="40" w:before="40"/>
            </w:pPr>
            <w:r/>
            <w:r>
              <w:rPr>
                <w:rFonts w:ascii="Calibri" w:hAnsi="Calibri"/>
                <w:b w:val="0"/>
                <w:color w:val="344054"/>
                <w:sz w:val="19"/>
              </w:rPr>
              <w:t>Before live deployment</w:t>
            </w:r>
          </w:p>
        </w:tc>
      </w:tr>
      <w:tr>
        <w:tc>
          <w:tcPr>
            <w:tcW w:type="dxa" w:w="4608"/>
          </w:tcPr>
          <w:p>
            <w:pPr>
              <w:spacing w:after="40" w:before="40"/>
            </w:pPr>
            <w:r/>
            <w:r>
              <w:rPr>
                <w:rFonts w:ascii="Calibri" w:hAnsi="Calibri"/>
                <w:b w:val="0"/>
                <w:color w:val="344054"/>
                <w:sz w:val="19"/>
              </w:rPr>
              <w:t>VAPT by a CERT-In empanelled auditor</w:t>
            </w:r>
          </w:p>
        </w:tc>
        <w:tc>
          <w:tcPr>
            <w:tcW w:type="dxa" w:w="2880"/>
          </w:tcPr>
          <w:p>
            <w:pPr>
              <w:spacing w:after="40" w:before="40"/>
            </w:pPr>
            <w:r/>
            <w:r>
              <w:rPr>
                <w:rFonts w:ascii="Calibri" w:hAnsi="Calibri"/>
                <w:b w:val="0"/>
                <w:color w:val="344054"/>
                <w:sz w:val="19"/>
              </w:rPr>
              <w:t>CERT-In empanelled auditor</w:t>
            </w:r>
          </w:p>
        </w:tc>
        <w:tc>
          <w:tcPr>
            <w:tcW w:type="dxa" w:w="2160"/>
          </w:tcPr>
          <w:p>
            <w:pPr>
              <w:spacing w:after="40" w:before="40"/>
            </w:pPr>
            <w:r/>
            <w:r>
              <w:rPr>
                <w:rFonts w:ascii="Calibri" w:hAnsi="Calibri"/>
                <w:b w:val="0"/>
                <w:color w:val="344054"/>
                <w:sz w:val="19"/>
              </w:rPr>
              <w:t>Before live deployment</w:t>
            </w:r>
          </w:p>
        </w:tc>
      </w:tr>
      <w:tr>
        <w:tc>
          <w:tcPr>
            <w:tcW w:type="dxa" w:w="4608"/>
            <w:shd w:val="clear" w:fill="F9FAFB"/>
          </w:tcPr>
          <w:p>
            <w:pPr>
              <w:spacing w:after="40" w:before="40"/>
            </w:pPr>
            <w:r/>
            <w:r>
              <w:rPr>
                <w:rFonts w:ascii="Calibri" w:hAnsi="Calibri"/>
                <w:b w:val="0"/>
                <w:color w:val="344054"/>
                <w:sz w:val="19"/>
              </w:rPr>
              <w:t>Third-party GIGW 3.0 conformance audit</w:t>
            </w:r>
          </w:p>
        </w:tc>
        <w:tc>
          <w:tcPr>
            <w:tcW w:type="dxa" w:w="2880"/>
            <w:shd w:val="clear" w:fill="F9FAFB"/>
          </w:tcPr>
          <w:p>
            <w:pPr>
              <w:spacing w:after="40" w:before="40"/>
            </w:pPr>
            <w:r/>
            <w:r>
              <w:rPr>
                <w:rFonts w:ascii="Calibri" w:hAnsi="Calibri"/>
                <w:b w:val="0"/>
                <w:color w:val="344054"/>
                <w:sz w:val="19"/>
              </w:rPr>
              <w:t>Accessibility auditor</w:t>
            </w:r>
          </w:p>
        </w:tc>
        <w:tc>
          <w:tcPr>
            <w:tcW w:type="dxa" w:w="2160"/>
            <w:shd w:val="clear" w:fill="F9FAFB"/>
          </w:tcPr>
          <w:p>
            <w:pPr>
              <w:spacing w:after="40" w:before="40"/>
            </w:pPr>
            <w:r/>
            <w:r>
              <w:rPr>
                <w:rFonts w:ascii="Calibri" w:hAnsi="Calibri"/>
                <w:b w:val="0"/>
                <w:color w:val="344054"/>
                <w:sz w:val="19"/>
              </w:rPr>
              <w:t>Before live deployment</w:t>
            </w:r>
          </w:p>
        </w:tc>
      </w:tr>
    </w:tbl>
    <w:p>
      <w:pPr>
        <w:spacing w:after="80"/>
      </w:pPr>
    </w:p>
    <w:p>
      <w:pPr>
        <w:pStyle w:val="Heading1"/>
      </w:pPr>
      <w:r>
        <w:t>7. High-level milestones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296"/>
            <w:shd w:val="clear" w:fill="0B2447"/>
          </w:tcPr>
          <w:p>
            <w:pPr>
              <w:spacing w:after="40" w:before="40"/>
            </w:pPr>
            <w:r/>
            <w:r>
              <w:rPr>
                <w:rFonts w:ascii="Calibri" w:hAnsi="Calibri"/>
                <w:b/>
                <w:color w:val="FFFFFF"/>
                <w:sz w:val="19"/>
              </w:rPr>
              <w:t>Milestone</w:t>
            </w:r>
          </w:p>
        </w:tc>
        <w:tc>
          <w:tcPr>
            <w:tcW w:type="dxa" w:w="6336"/>
            <w:shd w:val="clear" w:fill="0B2447"/>
          </w:tcPr>
          <w:p>
            <w:pPr>
              <w:spacing w:after="40" w:before="40"/>
            </w:pPr>
            <w:r/>
            <w:r>
              <w:rPr>
                <w:rFonts w:ascii="Calibri" w:hAnsi="Calibri"/>
                <w:b/>
                <w:color w:val="FFFFFF"/>
                <w:sz w:val="19"/>
              </w:rPr>
              <w:t>Description</w:t>
            </w:r>
          </w:p>
        </w:tc>
        <w:tc>
          <w:tcPr>
            <w:tcW w:type="dxa" w:w="2016"/>
            <w:shd w:val="clear" w:fill="0B2447"/>
          </w:tcPr>
          <w:p>
            <w:pPr>
              <w:spacing w:after="40" w:before="40"/>
            </w:pPr>
            <w:r/>
            <w:r>
              <w:rPr>
                <w:rFonts w:ascii="Calibri" w:hAnsi="Calibri"/>
                <w:b/>
                <w:color w:val="FFFFFF"/>
                <w:sz w:val="19"/>
              </w:rPr>
              <w:t>Date</w:t>
            </w:r>
          </w:p>
        </w:tc>
      </w:tr>
      <w:tr>
        <w:tc>
          <w:tcPr>
            <w:tcW w:type="dxa" w:w="1296"/>
          </w:tcPr>
          <w:p>
            <w:pPr>
              <w:spacing w:after="40" w:before="40"/>
            </w:pPr>
            <w:r/>
            <w:r>
              <w:rPr>
                <w:rFonts w:ascii="Calibri" w:hAnsi="Calibri"/>
                <w:b w:val="0"/>
                <w:color w:val="344054"/>
                <w:sz w:val="19"/>
              </w:rPr>
              <w:t>M1</w:t>
            </w:r>
          </w:p>
        </w:tc>
        <w:tc>
          <w:tcPr>
            <w:tcW w:type="dxa" w:w="6336"/>
          </w:tcPr>
          <w:p>
            <w:pPr>
              <w:spacing w:after="40" w:before="40"/>
            </w:pPr>
            <w:r/>
            <w:r>
              <w:rPr>
                <w:rFonts w:ascii="Calibri" w:hAnsi="Calibri"/>
                <w:b w:val="0"/>
                <w:color w:val="344054"/>
                <w:sz w:val="19"/>
              </w:rPr>
              <w:t>Requirements traceability matrix baselined</w:t>
            </w:r>
          </w:p>
        </w:tc>
        <w:tc>
          <w:tcPr>
            <w:tcW w:type="dxa" w:w="2016"/>
          </w:tcPr>
          <w:p>
            <w:pPr>
              <w:spacing w:after="40" w:before="40"/>
            </w:pPr>
            <w:r/>
            <w:r>
              <w:rPr>
                <w:rFonts w:ascii="Calibri" w:hAnsi="Calibri"/>
                <w:b w:val="0"/>
                <w:color w:val="344054"/>
                <w:sz w:val="19"/>
              </w:rPr>
              <w:t>01 Aug 2026</w:t>
            </w:r>
          </w:p>
        </w:tc>
      </w:tr>
      <w:tr>
        <w:tc>
          <w:tcPr>
            <w:tcW w:type="dxa" w:w="1296"/>
            <w:shd w:val="clear" w:fill="F9FAFB"/>
          </w:tcPr>
          <w:p>
            <w:pPr>
              <w:spacing w:after="40" w:before="40"/>
            </w:pPr>
            <w:r/>
            <w:r>
              <w:rPr>
                <w:rFonts w:ascii="Calibri" w:hAnsi="Calibri"/>
                <w:b w:val="0"/>
                <w:color w:val="344054"/>
                <w:sz w:val="19"/>
              </w:rPr>
              <w:t>M2</w:t>
            </w:r>
          </w:p>
        </w:tc>
        <w:tc>
          <w:tcPr>
            <w:tcW w:type="dxa" w:w="6336"/>
            <w:shd w:val="clear" w:fill="F9FAFB"/>
          </w:tcPr>
          <w:p>
            <w:pPr>
              <w:spacing w:after="40" w:before="40"/>
            </w:pPr>
            <w:r/>
            <w:r>
              <w:rPr>
                <w:rFonts w:ascii="Calibri" w:hAnsi="Calibri"/>
                <w:b w:val="0"/>
                <w:color w:val="344054"/>
                <w:sz w:val="19"/>
              </w:rPr>
              <w:t>Data model and workflow state machines frozen</w:t>
            </w:r>
          </w:p>
        </w:tc>
        <w:tc>
          <w:tcPr>
            <w:tcW w:type="dxa" w:w="2016"/>
            <w:shd w:val="clear" w:fill="F9FAFB"/>
          </w:tcPr>
          <w:p>
            <w:pPr>
              <w:spacing w:after="40" w:before="40"/>
            </w:pPr>
            <w:r/>
            <w:r>
              <w:rPr>
                <w:rFonts w:ascii="Calibri" w:hAnsi="Calibri"/>
                <w:b w:val="0"/>
                <w:color w:val="344054"/>
                <w:sz w:val="19"/>
              </w:rPr>
              <w:t>15 Aug 2026</w:t>
            </w:r>
          </w:p>
        </w:tc>
      </w:tr>
      <w:tr>
        <w:tc>
          <w:tcPr>
            <w:tcW w:type="dxa" w:w="1296"/>
          </w:tcPr>
          <w:p>
            <w:pPr>
              <w:spacing w:after="40" w:before="40"/>
            </w:pPr>
            <w:r/>
            <w:r>
              <w:rPr>
                <w:rFonts w:ascii="Calibri" w:hAnsi="Calibri"/>
                <w:b w:val="0"/>
                <w:color w:val="344054"/>
                <w:sz w:val="19"/>
              </w:rPr>
              <w:t>M3</w:t>
            </w:r>
          </w:p>
        </w:tc>
        <w:tc>
          <w:tcPr>
            <w:tcW w:type="dxa" w:w="6336"/>
          </w:tcPr>
          <w:p>
            <w:pPr>
              <w:spacing w:after="40" w:before="40"/>
            </w:pPr>
            <w:r/>
            <w:r>
              <w:rPr>
                <w:rFonts w:ascii="Calibri" w:hAnsi="Calibri"/>
                <w:b w:val="0"/>
                <w:color w:val="344054"/>
                <w:sz w:val="19"/>
              </w:rPr>
              <w:t>API feature complete across all five stages</w:t>
            </w:r>
          </w:p>
        </w:tc>
        <w:tc>
          <w:tcPr>
            <w:tcW w:type="dxa" w:w="2016"/>
          </w:tcPr>
          <w:p>
            <w:pPr>
              <w:spacing w:after="40" w:before="40"/>
            </w:pPr>
            <w:r/>
            <w:r>
              <w:rPr>
                <w:rFonts w:ascii="Calibri" w:hAnsi="Calibri"/>
                <w:b w:val="0"/>
                <w:color w:val="344054"/>
                <w:sz w:val="19"/>
              </w:rPr>
              <w:t>08 Sep 2026</w:t>
            </w:r>
          </w:p>
        </w:tc>
      </w:tr>
      <w:tr>
        <w:tc>
          <w:tcPr>
            <w:tcW w:type="dxa" w:w="1296"/>
            <w:shd w:val="clear" w:fill="F9FAFB"/>
          </w:tcPr>
          <w:p>
            <w:pPr>
              <w:spacing w:after="40" w:before="40"/>
            </w:pPr>
            <w:r/>
            <w:r>
              <w:rPr>
                <w:rFonts w:ascii="Calibri" w:hAnsi="Calibri"/>
                <w:b w:val="0"/>
                <w:color w:val="344054"/>
                <w:sz w:val="19"/>
              </w:rPr>
              <w:t>M4</w:t>
            </w:r>
          </w:p>
        </w:tc>
        <w:tc>
          <w:tcPr>
            <w:tcW w:type="dxa" w:w="6336"/>
            <w:shd w:val="clear" w:fill="F9FAFB"/>
          </w:tcPr>
          <w:p>
            <w:pPr>
              <w:spacing w:after="40" w:before="40"/>
            </w:pPr>
            <w:r/>
            <w:r>
              <w:rPr>
                <w:rFonts w:ascii="Calibri" w:hAnsi="Calibri"/>
                <w:b w:val="0"/>
                <w:color w:val="344054"/>
                <w:sz w:val="19"/>
              </w:rPr>
              <w:t>Client feature complete across all seven roles</w:t>
            </w:r>
          </w:p>
        </w:tc>
        <w:tc>
          <w:tcPr>
            <w:tcW w:type="dxa" w:w="2016"/>
            <w:shd w:val="clear" w:fill="F9FAFB"/>
          </w:tcPr>
          <w:p>
            <w:pPr>
              <w:spacing w:after="40" w:before="40"/>
            </w:pPr>
            <w:r/>
            <w:r>
              <w:rPr>
                <w:rFonts w:ascii="Calibri" w:hAnsi="Calibri"/>
                <w:b w:val="0"/>
                <w:color w:val="344054"/>
                <w:sz w:val="19"/>
              </w:rPr>
              <w:t>12 Sep 2026</w:t>
            </w:r>
          </w:p>
        </w:tc>
      </w:tr>
      <w:tr>
        <w:tc>
          <w:tcPr>
            <w:tcW w:type="dxa" w:w="1296"/>
          </w:tcPr>
          <w:p>
            <w:pPr>
              <w:spacing w:after="40" w:before="40"/>
            </w:pPr>
            <w:r/>
            <w:r>
              <w:rPr>
                <w:rFonts w:ascii="Calibri" w:hAnsi="Calibri"/>
                <w:b w:val="0"/>
                <w:color w:val="344054"/>
                <w:sz w:val="19"/>
              </w:rPr>
              <w:t>M5</w:t>
            </w:r>
          </w:p>
        </w:tc>
        <w:tc>
          <w:tcPr>
            <w:tcW w:type="dxa" w:w="6336"/>
          </w:tcPr>
          <w:p>
            <w:pPr>
              <w:spacing w:after="40" w:before="40"/>
            </w:pPr>
            <w:r/>
            <w:r>
              <w:rPr>
                <w:rFonts w:ascii="Calibri" w:hAnsi="Calibri"/>
                <w:b w:val="0"/>
                <w:color w:val="344054"/>
                <w:sz w:val="19"/>
              </w:rPr>
              <w:t>End-to-end suite green across every stage gate</w:t>
            </w:r>
          </w:p>
        </w:tc>
        <w:tc>
          <w:tcPr>
            <w:tcW w:type="dxa" w:w="2016"/>
          </w:tcPr>
          <w:p>
            <w:pPr>
              <w:spacing w:after="40" w:before="40"/>
            </w:pPr>
            <w:r/>
            <w:r>
              <w:rPr>
                <w:rFonts w:ascii="Calibri" w:hAnsi="Calibri"/>
                <w:b w:val="0"/>
                <w:color w:val="344054"/>
                <w:sz w:val="19"/>
              </w:rPr>
              <w:t>17 Sep 2026</w:t>
            </w:r>
          </w:p>
        </w:tc>
      </w:tr>
      <w:tr>
        <w:tc>
          <w:tcPr>
            <w:tcW w:type="dxa" w:w="1296"/>
            <w:shd w:val="clear" w:fill="F9FAFB"/>
          </w:tcPr>
          <w:p>
            <w:pPr>
              <w:spacing w:after="40" w:before="40"/>
            </w:pPr>
            <w:r/>
            <w:r>
              <w:rPr>
                <w:rFonts w:ascii="Calibri" w:hAnsi="Calibri"/>
                <w:b w:val="0"/>
                <w:color w:val="344054"/>
                <w:sz w:val="19"/>
              </w:rPr>
              <w:t>M6</w:t>
            </w:r>
          </w:p>
        </w:tc>
        <w:tc>
          <w:tcPr>
            <w:tcW w:type="dxa" w:w="6336"/>
            <w:shd w:val="clear" w:fill="F9FAFB"/>
          </w:tcPr>
          <w:p>
            <w:pPr>
              <w:spacing w:after="40" w:before="40"/>
            </w:pPr>
            <w:r/>
            <w:r>
              <w:rPr>
                <w:rFonts w:ascii="Calibri" w:hAnsi="Calibri"/>
                <w:b w:val="0"/>
                <w:color w:val="344054"/>
                <w:sz w:val="19"/>
              </w:rPr>
              <w:t>Document set baselined and submission made</w:t>
            </w:r>
          </w:p>
        </w:tc>
        <w:tc>
          <w:tcPr>
            <w:tcW w:type="dxa" w:w="2016"/>
            <w:shd w:val="clear" w:fill="F9FAFB"/>
          </w:tcPr>
          <w:p>
            <w:pPr>
              <w:spacing w:after="40" w:before="40"/>
            </w:pPr>
            <w:r/>
            <w:r>
              <w:rPr>
                <w:rFonts w:ascii="Calibri" w:hAnsi="Calibri"/>
                <w:b w:val="0"/>
                <w:color w:val="344054"/>
                <w:sz w:val="19"/>
              </w:rPr>
              <w:t>30 Sep 2026</w:t>
            </w:r>
          </w:p>
        </w:tc>
      </w:tr>
      <w:tr>
        <w:tc>
          <w:tcPr>
            <w:tcW w:type="dxa" w:w="1296"/>
          </w:tcPr>
          <w:p>
            <w:pPr>
              <w:spacing w:after="40" w:before="40"/>
            </w:pPr>
            <w:r/>
            <w:r>
              <w:rPr>
                <w:rFonts w:ascii="Calibri" w:hAnsi="Calibri"/>
                <w:b w:val="0"/>
                <w:color w:val="344054"/>
                <w:sz w:val="19"/>
              </w:rPr>
              <w:t>M7</w:t>
            </w:r>
          </w:p>
        </w:tc>
        <w:tc>
          <w:tcPr>
            <w:tcW w:type="dxa" w:w="6336"/>
          </w:tcPr>
          <w:p>
            <w:pPr>
              <w:spacing w:after="40" w:before="40"/>
            </w:pPr>
            <w:r/>
            <w:r>
              <w:rPr>
                <w:rFonts w:ascii="Calibri" w:hAnsi="Calibri"/>
                <w:b w:val="0"/>
                <w:color w:val="344054"/>
                <w:sz w:val="19"/>
              </w:rPr>
              <w:t>Deployment readiness: live verification, sign-on, VAPT, accessibility audit</w:t>
            </w:r>
          </w:p>
        </w:tc>
        <w:tc>
          <w:tcPr>
            <w:tcW w:type="dxa" w:w="2016"/>
          </w:tcPr>
          <w:p>
            <w:pPr>
              <w:spacing w:after="40" w:before="40"/>
            </w:pPr>
            <w:r/>
            <w:r>
              <w:rPr>
                <w:rFonts w:ascii="Calibri" w:hAnsi="Calibri"/>
                <w:b w:val="0"/>
                <w:color w:val="344054"/>
                <w:sz w:val="19"/>
              </w:rPr>
              <w:t>31 Mar 2027</w:t>
            </w:r>
          </w:p>
        </w:tc>
      </w:tr>
    </w:tbl>
    <w:p>
      <w:pPr>
        <w:spacing w:after="80"/>
      </w:pPr>
    </w:p>
    <w:p>
      <w:pPr>
        <w:pStyle w:val="Heading1"/>
      </w:pPr>
      <w:r>
        <w:t>8. Budget outline</w:t>
      </w:r>
    </w:p>
    <w:p>
      <w:r>
        <w:t>This Charter covers the reference implementation, which was built by a small team without external cost. The figures below are the indicative cost of taking it to live operation in one department, and are stated so that the sponsor can judge the scale of the commitment rather than as a tender estimate.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456"/>
            <w:shd w:val="clear" w:fill="0B2447"/>
          </w:tcPr>
          <w:p>
            <w:pPr>
              <w:spacing w:after="40" w:before="40"/>
            </w:pPr>
            <w:r/>
            <w:r>
              <w:rPr>
                <w:rFonts w:ascii="Calibri" w:hAnsi="Calibri"/>
                <w:b/>
                <w:color w:val="FFFFFF"/>
                <w:sz w:val="19"/>
              </w:rPr>
              <w:t>Item</w:t>
            </w:r>
          </w:p>
        </w:tc>
        <w:tc>
          <w:tcPr>
            <w:tcW w:type="dxa" w:w="4608"/>
            <w:shd w:val="clear" w:fill="0B2447"/>
          </w:tcPr>
          <w:p>
            <w:pPr>
              <w:spacing w:after="40" w:before="40"/>
            </w:pPr>
            <w:r/>
            <w:r>
              <w:rPr>
                <w:rFonts w:ascii="Calibri" w:hAnsi="Calibri"/>
                <w:b/>
                <w:color w:val="FFFFFF"/>
                <w:sz w:val="19"/>
              </w:rPr>
              <w:t>Basis</w:t>
            </w:r>
          </w:p>
        </w:tc>
        <w:tc>
          <w:tcPr>
            <w:tcW w:type="dxa" w:w="1584"/>
            <w:shd w:val="clear" w:fill="0B2447"/>
          </w:tcPr>
          <w:p>
            <w:pPr>
              <w:spacing w:after="40" w:before="40"/>
            </w:pPr>
            <w:r/>
            <w:r>
              <w:rPr>
                <w:rFonts w:ascii="Calibri" w:hAnsi="Calibri"/>
                <w:b/>
                <w:color w:val="FFFFFF"/>
                <w:sz w:val="19"/>
              </w:rPr>
              <w:t>Indicative</w:t>
            </w:r>
          </w:p>
        </w:tc>
      </w:tr>
      <w:tr>
        <w:tc>
          <w:tcPr>
            <w:tcW w:type="dxa" w:w="3456"/>
          </w:tcPr>
          <w:p>
            <w:pPr>
              <w:spacing w:after="40" w:before="40"/>
            </w:pPr>
            <w:r/>
            <w:r>
              <w:rPr>
                <w:rFonts w:ascii="Calibri" w:hAnsi="Calibri"/>
                <w:b w:val="0"/>
                <w:color w:val="344054"/>
                <w:sz w:val="19"/>
              </w:rPr>
              <w:t>Deployment engineering</w:t>
            </w:r>
          </w:p>
        </w:tc>
        <w:tc>
          <w:tcPr>
            <w:tcW w:type="dxa" w:w="4608"/>
          </w:tcPr>
          <w:p>
            <w:pPr>
              <w:spacing w:after="40" w:before="40"/>
            </w:pPr>
            <w:r/>
            <w:r>
              <w:rPr>
                <w:rFonts w:ascii="Calibri" w:hAnsi="Calibri"/>
                <w:b w:val="0"/>
                <w:color w:val="344054"/>
                <w:sz w:val="19"/>
              </w:rPr>
              <w:t>Live verification APIs, single sign-on, PostgreSQL migration, GeM and PFMS adapters</w:t>
            </w:r>
          </w:p>
        </w:tc>
        <w:tc>
          <w:tcPr>
            <w:tcW w:type="dxa" w:w="1584"/>
          </w:tcPr>
          <w:p>
            <w:pPr>
              <w:spacing w:after="40" w:before="40"/>
            </w:pPr>
            <w:r/>
            <w:r>
              <w:rPr>
                <w:rFonts w:ascii="Calibri" w:hAnsi="Calibri"/>
                <w:b w:val="0"/>
                <w:color w:val="344054"/>
                <w:sz w:val="19"/>
              </w:rPr>
              <w:t>INR 35 lakh</w:t>
            </w:r>
          </w:p>
        </w:tc>
      </w:tr>
      <w:tr>
        <w:tc>
          <w:tcPr>
            <w:tcW w:type="dxa" w:w="3456"/>
            <w:shd w:val="clear" w:fill="F9FAFB"/>
          </w:tcPr>
          <w:p>
            <w:pPr>
              <w:spacing w:after="40" w:before="40"/>
            </w:pPr>
            <w:r/>
            <w:r>
              <w:rPr>
                <w:rFonts w:ascii="Calibri" w:hAnsi="Calibri"/>
                <w:b w:val="0"/>
                <w:color w:val="344054"/>
                <w:sz w:val="19"/>
              </w:rPr>
              <w:t>Security assessment</w:t>
            </w:r>
          </w:p>
        </w:tc>
        <w:tc>
          <w:tcPr>
            <w:tcW w:type="dxa" w:w="4608"/>
            <w:shd w:val="clear" w:fill="F9FAFB"/>
          </w:tcPr>
          <w:p>
            <w:pPr>
              <w:spacing w:after="40" w:before="40"/>
            </w:pPr>
            <w:r/>
            <w:r>
              <w:rPr>
                <w:rFonts w:ascii="Calibri" w:hAnsi="Calibri"/>
                <w:b w:val="0"/>
                <w:color w:val="344054"/>
                <w:sz w:val="19"/>
              </w:rPr>
              <w:t>VAPT by a CERT-In empanelled auditor, plus remediation</w:t>
            </w:r>
          </w:p>
        </w:tc>
        <w:tc>
          <w:tcPr>
            <w:tcW w:type="dxa" w:w="1584"/>
            <w:shd w:val="clear" w:fill="F9FAFB"/>
          </w:tcPr>
          <w:p>
            <w:pPr>
              <w:spacing w:after="40" w:before="40"/>
            </w:pPr>
            <w:r/>
            <w:r>
              <w:rPr>
                <w:rFonts w:ascii="Calibri" w:hAnsi="Calibri"/>
                <w:b w:val="0"/>
                <w:color w:val="344054"/>
                <w:sz w:val="19"/>
              </w:rPr>
              <w:t>INR 8 lakh</w:t>
            </w:r>
          </w:p>
        </w:tc>
      </w:tr>
      <w:tr>
        <w:tc>
          <w:tcPr>
            <w:tcW w:type="dxa" w:w="3456"/>
          </w:tcPr>
          <w:p>
            <w:pPr>
              <w:spacing w:after="40" w:before="40"/>
            </w:pPr>
            <w:r/>
            <w:r>
              <w:rPr>
                <w:rFonts w:ascii="Calibri" w:hAnsi="Calibri"/>
                <w:b w:val="0"/>
                <w:color w:val="344054"/>
                <w:sz w:val="19"/>
              </w:rPr>
              <w:t>Accessibility audit</w:t>
            </w:r>
          </w:p>
        </w:tc>
        <w:tc>
          <w:tcPr>
            <w:tcW w:type="dxa" w:w="4608"/>
          </w:tcPr>
          <w:p>
            <w:pPr>
              <w:spacing w:after="40" w:before="40"/>
            </w:pPr>
            <w:r/>
            <w:r>
              <w:rPr>
                <w:rFonts w:ascii="Calibri" w:hAnsi="Calibri"/>
                <w:b w:val="0"/>
                <w:color w:val="344054"/>
                <w:sz w:val="19"/>
              </w:rPr>
              <w:t>Third-party GIGW 3.0 conformance assessment and remediation</w:t>
            </w:r>
          </w:p>
        </w:tc>
        <w:tc>
          <w:tcPr>
            <w:tcW w:type="dxa" w:w="1584"/>
          </w:tcPr>
          <w:p>
            <w:pPr>
              <w:spacing w:after="40" w:before="40"/>
            </w:pPr>
            <w:r/>
            <w:r>
              <w:rPr>
                <w:rFonts w:ascii="Calibri" w:hAnsi="Calibri"/>
                <w:b w:val="0"/>
                <w:color w:val="344054"/>
                <w:sz w:val="19"/>
              </w:rPr>
              <w:t>INR 5 lakh</w:t>
            </w:r>
          </w:p>
        </w:tc>
      </w:tr>
      <w:tr>
        <w:tc>
          <w:tcPr>
            <w:tcW w:type="dxa" w:w="3456"/>
            <w:shd w:val="clear" w:fill="F9FAFB"/>
          </w:tcPr>
          <w:p>
            <w:pPr>
              <w:spacing w:after="40" w:before="40"/>
            </w:pPr>
            <w:r/>
            <w:r>
              <w:rPr>
                <w:rFonts w:ascii="Calibri" w:hAnsi="Calibri"/>
                <w:b w:val="0"/>
                <w:color w:val="344054"/>
                <w:sz w:val="19"/>
              </w:rPr>
              <w:t>Hosting and operations</w:t>
            </w:r>
          </w:p>
        </w:tc>
        <w:tc>
          <w:tcPr>
            <w:tcW w:type="dxa" w:w="4608"/>
            <w:shd w:val="clear" w:fill="F9FAFB"/>
          </w:tcPr>
          <w:p>
            <w:pPr>
              <w:spacing w:after="40" w:before="40"/>
            </w:pPr>
            <w:r/>
            <w:r>
              <w:rPr>
                <w:rFonts w:ascii="Calibri" w:hAnsi="Calibri"/>
                <w:b w:val="0"/>
                <w:color w:val="344054"/>
                <w:sz w:val="19"/>
              </w:rPr>
              <w:t>India-resident hosting, backup, monitoring, per year</w:t>
            </w:r>
          </w:p>
        </w:tc>
        <w:tc>
          <w:tcPr>
            <w:tcW w:type="dxa" w:w="1584"/>
            <w:shd w:val="clear" w:fill="F9FAFB"/>
          </w:tcPr>
          <w:p>
            <w:pPr>
              <w:spacing w:after="40" w:before="40"/>
            </w:pPr>
            <w:r/>
            <w:r>
              <w:rPr>
                <w:rFonts w:ascii="Calibri" w:hAnsi="Calibri"/>
                <w:b w:val="0"/>
                <w:color w:val="344054"/>
                <w:sz w:val="19"/>
              </w:rPr>
              <w:t>INR 12 lakh per annum</w:t>
            </w:r>
          </w:p>
        </w:tc>
      </w:tr>
      <w:tr>
        <w:tc>
          <w:tcPr>
            <w:tcW w:type="dxa" w:w="3456"/>
          </w:tcPr>
          <w:p>
            <w:pPr>
              <w:spacing w:after="40" w:before="40"/>
            </w:pPr>
            <w:r/>
            <w:r>
              <w:rPr>
                <w:rFonts w:ascii="Calibri" w:hAnsi="Calibri"/>
                <w:b w:val="0"/>
                <w:color w:val="344054"/>
                <w:sz w:val="19"/>
              </w:rPr>
              <w:t>Change management</w:t>
            </w:r>
          </w:p>
        </w:tc>
        <w:tc>
          <w:tcPr>
            <w:tcW w:type="dxa" w:w="4608"/>
          </w:tcPr>
          <w:p>
            <w:pPr>
              <w:spacing w:after="40" w:before="40"/>
            </w:pPr>
            <w:r/>
            <w:r>
              <w:rPr>
                <w:rFonts w:ascii="Calibri" w:hAnsi="Calibri"/>
                <w:b w:val="0"/>
                <w:color w:val="344054"/>
                <w:sz w:val="19"/>
              </w:rPr>
              <w:t>Authoring workshops for nodal officers across participating departments</w:t>
            </w:r>
          </w:p>
        </w:tc>
        <w:tc>
          <w:tcPr>
            <w:tcW w:type="dxa" w:w="1584"/>
          </w:tcPr>
          <w:p>
            <w:pPr>
              <w:spacing w:after="40" w:before="40"/>
            </w:pPr>
            <w:r/>
            <w:r>
              <w:rPr>
                <w:rFonts w:ascii="Calibri" w:hAnsi="Calibri"/>
                <w:b w:val="0"/>
                <w:color w:val="344054"/>
                <w:sz w:val="19"/>
              </w:rPr>
              <w:t>INR 10 lakh</w:t>
            </w:r>
          </w:p>
        </w:tc>
      </w:tr>
      <w:tr>
        <w:tc>
          <w:tcPr>
            <w:tcW w:type="dxa" w:w="3456"/>
            <w:shd w:val="clear" w:fill="F9FAFB"/>
          </w:tcPr>
          <w:p>
            <w:pPr>
              <w:spacing w:after="40" w:before="40"/>
            </w:pPr>
            <w:r/>
            <w:r>
              <w:rPr>
                <w:rFonts w:ascii="Calibri" w:hAnsi="Calibri"/>
                <w:b w:val="0"/>
                <w:color w:val="344054"/>
                <w:sz w:val="19"/>
              </w:rPr>
              <w:t>Pilot fund (per department, indicative)</w:t>
            </w:r>
          </w:p>
        </w:tc>
        <w:tc>
          <w:tcPr>
            <w:tcW w:type="dxa" w:w="4608"/>
            <w:shd w:val="clear" w:fill="F9FAFB"/>
          </w:tcPr>
          <w:p>
            <w:pPr>
              <w:spacing w:after="40" w:before="40"/>
            </w:pPr>
            <w:r/>
            <w:r>
              <w:rPr>
                <w:rFonts w:ascii="Calibri" w:hAnsi="Calibri"/>
                <w:b w:val="0"/>
                <w:color w:val="344054"/>
                <w:sz w:val="19"/>
              </w:rPr>
              <w:t>Six pilots at an average ceiling of INR 45 lakh</w:t>
            </w:r>
          </w:p>
        </w:tc>
        <w:tc>
          <w:tcPr>
            <w:tcW w:type="dxa" w:w="1584"/>
            <w:shd w:val="clear" w:fill="F9FAFB"/>
          </w:tcPr>
          <w:p>
            <w:pPr>
              <w:spacing w:after="40" w:before="40"/>
            </w:pPr>
            <w:r/>
            <w:r>
              <w:rPr>
                <w:rFonts w:ascii="Calibri" w:hAnsi="Calibri"/>
                <w:b w:val="0"/>
                <w:color w:val="344054"/>
                <w:sz w:val="19"/>
              </w:rPr>
              <w:t>INR 2.7 crore</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fill="F2F4F7"/>
          </w:tcPr>
          <w:p>
            <w:r/>
            <w:r>
              <w:rPr>
                <w:b/>
                <w:color w:val="0B2447"/>
                <w:sz w:val="19"/>
              </w:rPr>
              <w:t xml:space="preserve">Note on the pilot fund:  </w:t>
            </w:r>
            <w:r>
              <w:rPr>
                <w:color w:val="344054"/>
                <w:sz w:val="19"/>
              </w:rPr>
              <w:t>The pilot fund is not a project cost. It is departmental procurement spend that would otherwise be committed to a conventional tender with no evidence behind it. The mechanism changes what the money buys, not how much is spent.</w:t>
            </w:r>
          </w:p>
        </w:tc>
      </w:tr>
    </w:tbl>
    <w:p>
      <w:pPr>
        <w:spacing w:after="80"/>
      </w:pPr>
    </w:p>
    <w:p>
      <w:pPr>
        <w:pStyle w:val="Heading1"/>
      </w:pPr>
      <w:r>
        <w:t>9. Governance and authority</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68"/>
            <w:shd w:val="clear" w:fill="0B2447"/>
          </w:tcPr>
          <w:p>
            <w:pPr>
              <w:spacing w:after="40" w:before="40"/>
            </w:pPr>
            <w:r/>
            <w:r>
              <w:rPr>
                <w:rFonts w:ascii="Calibri" w:hAnsi="Calibri"/>
                <w:b/>
                <w:color w:val="FFFFFF"/>
                <w:sz w:val="19"/>
              </w:rPr>
              <w:t>Decision</w:t>
            </w:r>
          </w:p>
        </w:tc>
        <w:tc>
          <w:tcPr>
            <w:tcW w:type="dxa" w:w="3312"/>
            <w:shd w:val="clear" w:fill="0B2447"/>
          </w:tcPr>
          <w:p>
            <w:pPr>
              <w:spacing w:after="40" w:before="40"/>
            </w:pPr>
            <w:r/>
            <w:r>
              <w:rPr>
                <w:rFonts w:ascii="Calibri" w:hAnsi="Calibri"/>
                <w:b/>
                <w:color w:val="FFFFFF"/>
                <w:sz w:val="19"/>
              </w:rPr>
              <w:t>Authority</w:t>
            </w:r>
          </w:p>
        </w:tc>
        <w:tc>
          <w:tcPr>
            <w:tcW w:type="dxa" w:w="3168"/>
            <w:shd w:val="clear" w:fill="0B2447"/>
          </w:tcPr>
          <w:p>
            <w:pPr>
              <w:spacing w:after="40" w:before="40"/>
            </w:pPr>
            <w:r/>
            <w:r>
              <w:rPr>
                <w:rFonts w:ascii="Calibri" w:hAnsi="Calibri"/>
                <w:b/>
                <w:color w:val="FFFFFF"/>
                <w:sz w:val="19"/>
              </w:rPr>
              <w:t>Cannot be exercised by</w:t>
            </w:r>
          </w:p>
        </w:tc>
      </w:tr>
      <w:tr>
        <w:tc>
          <w:tcPr>
            <w:tcW w:type="dxa" w:w="3168"/>
          </w:tcPr>
          <w:p>
            <w:pPr>
              <w:spacing w:after="40" w:before="40"/>
            </w:pPr>
            <w:r/>
            <w:r>
              <w:rPr>
                <w:rFonts w:ascii="Calibri" w:hAnsi="Calibri"/>
                <w:b w:val="0"/>
                <w:color w:val="344054"/>
                <w:sz w:val="19"/>
              </w:rPr>
              <w:t>Approve and publish a problem statement</w:t>
            </w:r>
          </w:p>
        </w:tc>
        <w:tc>
          <w:tcPr>
            <w:tcW w:type="dxa" w:w="3312"/>
          </w:tcPr>
          <w:p>
            <w:pPr>
              <w:spacing w:after="40" w:before="40"/>
            </w:pPr>
            <w:r/>
            <w:r>
              <w:rPr>
                <w:rFonts w:ascii="Calibri" w:hAnsi="Calibri"/>
                <w:b w:val="0"/>
                <w:color w:val="344054"/>
                <w:sz w:val="19"/>
              </w:rPr>
              <w:t>Department Head</w:t>
            </w:r>
          </w:p>
        </w:tc>
        <w:tc>
          <w:tcPr>
            <w:tcW w:type="dxa" w:w="3168"/>
          </w:tcPr>
          <w:p>
            <w:pPr>
              <w:spacing w:after="40" w:before="40"/>
            </w:pPr>
            <w:r/>
            <w:r>
              <w:rPr>
                <w:rFonts w:ascii="Calibri" w:hAnsi="Calibri"/>
                <w:b w:val="0"/>
                <w:color w:val="344054"/>
                <w:sz w:val="19"/>
              </w:rPr>
              <w:t>The nodal officer who drafted it</w:t>
            </w:r>
          </w:p>
        </w:tc>
      </w:tr>
      <w:tr>
        <w:tc>
          <w:tcPr>
            <w:tcW w:type="dxa" w:w="3168"/>
            <w:shd w:val="clear" w:fill="F9FAFB"/>
          </w:tcPr>
          <w:p>
            <w:pPr>
              <w:spacing w:after="40" w:before="40"/>
            </w:pPr>
            <w:r/>
            <w:r>
              <w:rPr>
                <w:rFonts w:ascii="Calibri" w:hAnsi="Calibri"/>
                <w:b w:val="0"/>
                <w:color w:val="344054"/>
                <w:sz w:val="19"/>
              </w:rPr>
              <w:t>Determine statutory eligibility</w:t>
            </w:r>
          </w:p>
        </w:tc>
        <w:tc>
          <w:tcPr>
            <w:tcW w:type="dxa" w:w="3312"/>
            <w:shd w:val="clear" w:fill="F9FAFB"/>
          </w:tcPr>
          <w:p>
            <w:pPr>
              <w:spacing w:after="40" w:before="40"/>
            </w:pPr>
            <w:r/>
            <w:r>
              <w:rPr>
                <w:rFonts w:ascii="Calibri" w:hAnsi="Calibri"/>
                <w:b w:val="0"/>
                <w:color w:val="344054"/>
                <w:sz w:val="19"/>
              </w:rPr>
              <w:t>The platform, by rule</w:t>
            </w:r>
          </w:p>
        </w:tc>
        <w:tc>
          <w:tcPr>
            <w:tcW w:type="dxa" w:w="3168"/>
            <w:shd w:val="clear" w:fill="F9FAFB"/>
          </w:tcPr>
          <w:p>
            <w:pPr>
              <w:spacing w:after="40" w:before="40"/>
            </w:pPr>
            <w:r/>
            <w:r>
              <w:rPr>
                <w:rFonts w:ascii="Calibri" w:hAnsi="Calibri"/>
                <w:b w:val="0"/>
                <w:color w:val="344054"/>
                <w:sz w:val="19"/>
              </w:rPr>
              <w:t>Any individual - the gate is automatic and its verdict is stored</w:t>
            </w:r>
          </w:p>
        </w:tc>
      </w:tr>
      <w:tr>
        <w:tc>
          <w:tcPr>
            <w:tcW w:type="dxa" w:w="3168"/>
          </w:tcPr>
          <w:p>
            <w:pPr>
              <w:spacing w:after="40" w:before="40"/>
            </w:pPr>
            <w:r/>
            <w:r>
              <w:rPr>
                <w:rFonts w:ascii="Calibri" w:hAnsi="Calibri"/>
                <w:b w:val="0"/>
                <w:color w:val="344054"/>
                <w:sz w:val="19"/>
              </w:rPr>
              <w:t>Assign an evaluation committee</w:t>
            </w:r>
          </w:p>
        </w:tc>
        <w:tc>
          <w:tcPr>
            <w:tcW w:type="dxa" w:w="3312"/>
          </w:tcPr>
          <w:p>
            <w:pPr>
              <w:spacing w:after="40" w:before="40"/>
            </w:pPr>
            <w:r/>
            <w:r>
              <w:rPr>
                <w:rFonts w:ascii="Calibri" w:hAnsi="Calibri"/>
                <w:b w:val="0"/>
                <w:color w:val="344054"/>
                <w:sz w:val="19"/>
              </w:rPr>
              <w:t>Nodal Officer</w:t>
            </w:r>
          </w:p>
        </w:tc>
        <w:tc>
          <w:tcPr>
            <w:tcW w:type="dxa" w:w="3168"/>
          </w:tcPr>
          <w:p>
            <w:pPr>
              <w:spacing w:after="40" w:before="40"/>
            </w:pPr>
            <w:r/>
            <w:r>
              <w:rPr>
                <w:rFonts w:ascii="Calibri" w:hAnsi="Calibri"/>
                <w:b w:val="0"/>
                <w:color w:val="344054"/>
                <w:sz w:val="19"/>
              </w:rPr>
              <w:t>The applicant, or an evaluator</w:t>
            </w:r>
          </w:p>
        </w:tc>
      </w:tr>
      <w:tr>
        <w:tc>
          <w:tcPr>
            <w:tcW w:type="dxa" w:w="3168"/>
            <w:shd w:val="clear" w:fill="F9FAFB"/>
          </w:tcPr>
          <w:p>
            <w:pPr>
              <w:spacing w:after="40" w:before="40"/>
            </w:pPr>
            <w:r/>
            <w:r>
              <w:rPr>
                <w:rFonts w:ascii="Calibri" w:hAnsi="Calibri"/>
                <w:b w:val="0"/>
                <w:color w:val="344054"/>
                <w:sz w:val="19"/>
              </w:rPr>
              <w:t>Score an application</w:t>
            </w:r>
          </w:p>
        </w:tc>
        <w:tc>
          <w:tcPr>
            <w:tcW w:type="dxa" w:w="3312"/>
            <w:shd w:val="clear" w:fill="F9FAFB"/>
          </w:tcPr>
          <w:p>
            <w:pPr>
              <w:spacing w:after="40" w:before="40"/>
            </w:pPr>
            <w:r/>
            <w:r>
              <w:rPr>
                <w:rFonts w:ascii="Calibri" w:hAnsi="Calibri"/>
                <w:b w:val="0"/>
                <w:color w:val="344054"/>
                <w:sz w:val="19"/>
              </w:rPr>
              <w:t>Evaluator, after declaring conflict of interest</w:t>
            </w:r>
          </w:p>
        </w:tc>
        <w:tc>
          <w:tcPr>
            <w:tcW w:type="dxa" w:w="3168"/>
            <w:shd w:val="clear" w:fill="F9FAFB"/>
          </w:tcPr>
          <w:p>
            <w:pPr>
              <w:spacing w:after="40" w:before="40"/>
            </w:pPr>
            <w:r/>
            <w:r>
              <w:rPr>
                <w:rFonts w:ascii="Calibri" w:hAnsi="Calibri"/>
                <w:b w:val="0"/>
                <w:color w:val="344054"/>
                <w:sz w:val="19"/>
              </w:rPr>
              <w:t>Anyone else; and no score may be edited after submission</w:t>
            </w:r>
          </w:p>
        </w:tc>
      </w:tr>
      <w:tr>
        <w:tc>
          <w:tcPr>
            <w:tcW w:type="dxa" w:w="3168"/>
          </w:tcPr>
          <w:p>
            <w:pPr>
              <w:spacing w:after="40" w:before="40"/>
            </w:pPr>
            <w:r/>
            <w:r>
              <w:rPr>
                <w:rFonts w:ascii="Calibri" w:hAnsi="Calibri"/>
                <w:b w:val="0"/>
                <w:color w:val="344054"/>
                <w:sz w:val="19"/>
              </w:rPr>
              <w:t>Shortlist an application</w:t>
            </w:r>
          </w:p>
        </w:tc>
        <w:tc>
          <w:tcPr>
            <w:tcW w:type="dxa" w:w="3312"/>
          </w:tcPr>
          <w:p>
            <w:pPr>
              <w:spacing w:after="40" w:before="40"/>
            </w:pPr>
            <w:r/>
            <w:r>
              <w:rPr>
                <w:rFonts w:ascii="Calibri" w:hAnsi="Calibri"/>
                <w:b w:val="0"/>
                <w:color w:val="344054"/>
                <w:sz w:val="19"/>
              </w:rPr>
              <w:t>Nodal Officer</w:t>
            </w:r>
          </w:p>
        </w:tc>
        <w:tc>
          <w:tcPr>
            <w:tcW w:type="dxa" w:w="3168"/>
          </w:tcPr>
          <w:p>
            <w:pPr>
              <w:spacing w:after="40" w:before="40"/>
            </w:pPr>
            <w:r/>
            <w:r>
              <w:rPr>
                <w:rFonts w:ascii="Calibri" w:hAnsi="Calibri"/>
                <w:b w:val="0"/>
                <w:color w:val="344054"/>
                <w:sz w:val="19"/>
              </w:rPr>
              <w:t>An evaluator acting alone</w:t>
            </w:r>
          </w:p>
        </w:tc>
      </w:tr>
      <w:tr>
        <w:tc>
          <w:tcPr>
            <w:tcW w:type="dxa" w:w="3168"/>
            <w:shd w:val="clear" w:fill="F9FAFB"/>
          </w:tcPr>
          <w:p>
            <w:pPr>
              <w:spacing w:after="40" w:before="40"/>
            </w:pPr>
            <w:r/>
            <w:r>
              <w:rPr>
                <w:rFonts w:ascii="Calibri" w:hAnsi="Calibri"/>
                <w:b w:val="0"/>
                <w:color w:val="344054"/>
                <w:sz w:val="19"/>
              </w:rPr>
              <w:t>Sanction a pilot</w:t>
            </w:r>
          </w:p>
        </w:tc>
        <w:tc>
          <w:tcPr>
            <w:tcW w:type="dxa" w:w="3312"/>
            <w:shd w:val="clear" w:fill="F9FAFB"/>
          </w:tcPr>
          <w:p>
            <w:pPr>
              <w:spacing w:after="40" w:before="40"/>
            </w:pPr>
            <w:r/>
            <w:r>
              <w:rPr>
                <w:rFonts w:ascii="Calibri" w:hAnsi="Calibri"/>
                <w:b w:val="0"/>
                <w:color w:val="344054"/>
                <w:sz w:val="19"/>
              </w:rPr>
              <w:t>Nodal Officer within the published ceiling</w:t>
            </w:r>
          </w:p>
        </w:tc>
        <w:tc>
          <w:tcPr>
            <w:tcW w:type="dxa" w:w="3168"/>
            <w:shd w:val="clear" w:fill="F9FAFB"/>
          </w:tcPr>
          <w:p>
            <w:pPr>
              <w:spacing w:after="40" w:before="40"/>
            </w:pPr>
            <w:r/>
            <w:r>
              <w:rPr>
                <w:rFonts w:ascii="Calibri" w:hAnsi="Calibri"/>
                <w:b w:val="0"/>
                <w:color w:val="344054"/>
                <w:sz w:val="19"/>
              </w:rPr>
              <w:t>Anyone, above the published ceiling</w:t>
            </w:r>
          </w:p>
        </w:tc>
      </w:tr>
      <w:tr>
        <w:tc>
          <w:tcPr>
            <w:tcW w:type="dxa" w:w="3168"/>
          </w:tcPr>
          <w:p>
            <w:pPr>
              <w:spacing w:after="40" w:before="40"/>
            </w:pPr>
            <w:r/>
            <w:r>
              <w:rPr>
                <w:rFonts w:ascii="Calibri" w:hAnsi="Calibri"/>
                <w:b w:val="0"/>
                <w:color w:val="344054"/>
                <w:sz w:val="19"/>
              </w:rPr>
              <w:t>Record a pilot closure verdict</w:t>
            </w:r>
          </w:p>
        </w:tc>
        <w:tc>
          <w:tcPr>
            <w:tcW w:type="dxa" w:w="3312"/>
          </w:tcPr>
          <w:p>
            <w:pPr>
              <w:spacing w:after="40" w:before="40"/>
            </w:pPr>
            <w:r/>
            <w:r>
              <w:rPr>
                <w:rFonts w:ascii="Calibri" w:hAnsi="Calibri"/>
                <w:b w:val="0"/>
                <w:color w:val="344054"/>
                <w:sz w:val="19"/>
              </w:rPr>
              <w:t>Pilot Monitor or Department Head</w:t>
            </w:r>
          </w:p>
        </w:tc>
        <w:tc>
          <w:tcPr>
            <w:tcW w:type="dxa" w:w="3168"/>
          </w:tcPr>
          <w:p>
            <w:pPr>
              <w:spacing w:after="40" w:before="40"/>
            </w:pPr>
            <w:r/>
            <w:r>
              <w:rPr>
                <w:rFonts w:ascii="Calibri" w:hAnsi="Calibri"/>
                <w:b w:val="0"/>
                <w:color w:val="344054"/>
                <w:sz w:val="19"/>
              </w:rPr>
              <w:t>The startup running the pilot</w:t>
            </w:r>
          </w:p>
        </w:tc>
      </w:tr>
      <w:tr>
        <w:tc>
          <w:tcPr>
            <w:tcW w:type="dxa" w:w="3168"/>
            <w:shd w:val="clear" w:fill="F9FAFB"/>
          </w:tcPr>
          <w:p>
            <w:pPr>
              <w:spacing w:after="40" w:before="40"/>
            </w:pPr>
            <w:r/>
            <w:r>
              <w:rPr>
                <w:rFonts w:ascii="Calibri" w:hAnsi="Calibri"/>
                <w:b w:val="0"/>
                <w:color w:val="344054"/>
                <w:sz w:val="19"/>
              </w:rPr>
              <w:t>Sanction a procurement</w:t>
            </w:r>
          </w:p>
        </w:tc>
        <w:tc>
          <w:tcPr>
            <w:tcW w:type="dxa" w:w="3312"/>
            <w:shd w:val="clear" w:fill="F9FAFB"/>
          </w:tcPr>
          <w:p>
            <w:pPr>
              <w:spacing w:after="40" w:before="40"/>
            </w:pPr>
            <w:r/>
            <w:r>
              <w:rPr>
                <w:rFonts w:ascii="Calibri" w:hAnsi="Calibri"/>
                <w:b w:val="0"/>
                <w:color w:val="344054"/>
                <w:sz w:val="19"/>
              </w:rPr>
              <w:t>Department Head</w:t>
            </w:r>
          </w:p>
        </w:tc>
        <w:tc>
          <w:tcPr>
            <w:tcW w:type="dxa" w:w="3168"/>
            <w:shd w:val="clear" w:fill="F9FAFB"/>
          </w:tcPr>
          <w:p>
            <w:pPr>
              <w:spacing w:after="40" w:before="40"/>
            </w:pPr>
            <w:r/>
            <w:r>
              <w:rPr>
                <w:rFonts w:ascii="Calibri" w:hAnsi="Calibri"/>
                <w:b w:val="0"/>
                <w:color w:val="344054"/>
                <w:sz w:val="19"/>
              </w:rPr>
              <w:t>The procurement officer who prepared it</w:t>
            </w:r>
          </w:p>
        </w:tc>
      </w:tr>
      <w:tr>
        <w:tc>
          <w:tcPr>
            <w:tcW w:type="dxa" w:w="3168"/>
          </w:tcPr>
          <w:p>
            <w:pPr>
              <w:spacing w:after="40" w:before="40"/>
            </w:pPr>
            <w:r/>
            <w:r>
              <w:rPr>
                <w:rFonts w:ascii="Calibri" w:hAnsi="Calibri"/>
                <w:b w:val="0"/>
                <w:color w:val="344054"/>
                <w:sz w:val="19"/>
              </w:rPr>
              <w:t>Suspend an account or verify KYC</w:t>
            </w:r>
          </w:p>
        </w:tc>
        <w:tc>
          <w:tcPr>
            <w:tcW w:type="dxa" w:w="3312"/>
          </w:tcPr>
          <w:p>
            <w:pPr>
              <w:spacing w:after="40" w:before="40"/>
            </w:pPr>
            <w:r/>
            <w:r>
              <w:rPr>
                <w:rFonts w:ascii="Calibri" w:hAnsi="Calibri"/>
                <w:b w:val="0"/>
                <w:color w:val="344054"/>
                <w:sz w:val="19"/>
              </w:rPr>
              <w:t>Platform Administrator</w:t>
            </w:r>
          </w:p>
        </w:tc>
        <w:tc>
          <w:tcPr>
            <w:tcW w:type="dxa" w:w="3168"/>
          </w:tcPr>
          <w:p>
            <w:pPr>
              <w:spacing w:after="40" w:before="40"/>
            </w:pPr>
            <w:r/>
            <w:r>
              <w:rPr>
                <w:rFonts w:ascii="Calibri" w:hAnsi="Calibri"/>
                <w:b w:val="0"/>
                <w:color w:val="344054"/>
                <w:sz w:val="19"/>
              </w:rPr>
              <w:t>A departmental user</w:t>
            </w:r>
          </w:p>
        </w:tc>
      </w:tr>
      <w:tr>
        <w:tc>
          <w:tcPr>
            <w:tcW w:type="dxa" w:w="3168"/>
            <w:shd w:val="clear" w:fill="F9FAFB"/>
          </w:tcPr>
          <w:p>
            <w:pPr>
              <w:spacing w:after="40" w:before="40"/>
            </w:pPr>
            <w:r/>
            <w:r>
              <w:rPr>
                <w:rFonts w:ascii="Calibri" w:hAnsi="Calibri"/>
                <w:b w:val="0"/>
                <w:color w:val="344054"/>
                <w:sz w:val="19"/>
              </w:rPr>
              <w:t>Score, approve or sanction on a department's behalf</w:t>
            </w:r>
          </w:p>
        </w:tc>
        <w:tc>
          <w:tcPr>
            <w:tcW w:type="dxa" w:w="3312"/>
            <w:shd w:val="clear" w:fill="F9FAFB"/>
          </w:tcPr>
          <w:p>
            <w:pPr>
              <w:spacing w:after="40" w:before="40"/>
            </w:pPr>
            <w:r/>
            <w:r>
              <w:rPr>
                <w:rFonts w:ascii="Calibri" w:hAnsi="Calibri"/>
                <w:b w:val="0"/>
                <w:color w:val="344054"/>
                <w:sz w:val="19"/>
              </w:rPr>
              <w:t>Nobody</w:t>
            </w:r>
          </w:p>
        </w:tc>
        <w:tc>
          <w:tcPr>
            <w:tcW w:type="dxa" w:w="3168"/>
            <w:shd w:val="clear" w:fill="F9FAFB"/>
          </w:tcPr>
          <w:p>
            <w:pPr>
              <w:spacing w:after="40" w:before="40"/>
            </w:pPr>
            <w:r/>
            <w:r>
              <w:rPr>
                <w:rFonts w:ascii="Calibri" w:hAnsi="Calibri"/>
                <w:b w:val="0"/>
                <w:color w:val="344054"/>
                <w:sz w:val="19"/>
              </w:rPr>
              <w:t>Including the platform administrator</w:t>
            </w:r>
          </w:p>
        </w:tc>
      </w:tr>
    </w:tbl>
    <w:p>
      <w:pPr>
        <w:spacing w:after="80"/>
      </w:pPr>
    </w:p>
    <w:p>
      <w:pPr>
        <w:pStyle w:val="Heading1"/>
      </w:pPr>
      <w:r>
        <w:t>10. Charter acceptance</w:t>
      </w:r>
    </w:p>
    <w:p>
      <w:r>
        <w:t>Acceptance of this Charter authorises the scope in section 4, commits the governance in section 9, and baselines the objectives in section 3 as the measures against which the project will be judged. Any change to scope requires a version increment of this document and a corresponding update to AVSAR-RTM-004 in the same revision.</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67085"/>
        <w:sz w:val="16"/>
      </w:rPr>
      <w:t>AVSAR-CHR-002 Project Charter v1.0 - Internal - Smart India Hackathon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3440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B2447"/>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2447"/>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563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