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3B2E7E"/>
          <w:sz w:val="40"/>
          <w:szCs w:val="40"/>
        </w:rPr>
        <w:t xml:space="preserve">PulseDesk — Data Retention Policy</w:t>
      </w:r>
    </w:p>
    <w:tbl>
      <w:tblPr>
        <w:tblW w:type="pct" w:w="100%"/>
        <w:tblBorders>
          <w:top w:val="single" w:color="D8DEF0" w:sz="2"/>
          <w:left w:val="single" w:color="D8DEF0" w:sz="2"/>
          <w:bottom w:val="single" w:color="D8DEF0" w:sz="2"/>
          <w:right w:val="single" w:color="D8DEF0" w:sz="2"/>
          <w:insideH w:val="single" w:color="D8DEF0" w:sz="2"/>
          <w:insideV w:val="single" w:color="D8DEF0" w:sz="2"/>
        </w:tblBorders>
      </w:tblPr>
      <w:tblGrid>
        <w:gridCol w:w="2200"/>
        <w:gridCol w:w="7400"/>
      </w:tblGrid>
      <w:tr>
        <w:trPr>
          <w:tblHeader/>
        </w:trPr>
        <w:tc>
          <w:tcPr>
            <w:shd w:fill="3B2E7E"/>
            <w:tcMar>
              <w:top w:type="dxa" w:w="60"/>
              <w:left w:type="dxa" w:w="90"/>
              <w:bottom w:type="dxa" w:w="60"/>
              <w:right w:type="dxa" w:w="90"/>
            </w:tcMar>
          </w:tcPr>
          <w:p>
            <w:r>
              <w:rPr>
                <w:b/>
                <w:bCs/>
                <w:color w:val="FFFFFF"/>
                <w:sz w:val="18"/>
                <w:szCs w:val="18"/>
              </w:rPr>
              <w:t xml:space="preserve">Field</w:t>
            </w:r>
          </w:p>
        </w:tc>
        <w:tc>
          <w:tcPr>
            <w:shd w:fill="3B2E7E"/>
            <w:tcMar>
              <w:top w:type="dxa" w:w="60"/>
              <w:left w:type="dxa" w:w="90"/>
              <w:bottom w:type="dxa" w:w="60"/>
              <w:right w:type="dxa" w:w="90"/>
            </w:tcMar>
          </w:tcPr>
          <w:p>
            <w:r>
              <w:rPr>
                <w:b/>
                <w:bCs/>
                <w:color w:val="FFFFFF"/>
                <w:sz w:val="18"/>
                <w:szCs w:val="18"/>
              </w:rPr>
              <w:t xml:space="preserve">Value</w:t>
            </w:r>
          </w:p>
        </w:tc>
      </w:tr>
      <w:tr>
        <w:tc>
          <w:tcPr>
            <w:tcMar>
              <w:top w:type="dxa" w:w="60"/>
              <w:left w:type="dxa" w:w="90"/>
              <w:bottom w:type="dxa" w:w="60"/>
              <w:right w:type="dxa" w:w="90"/>
            </w:tcMar>
          </w:tcPr>
          <w:p>
            <w:r>
              <w:rPr>
                <w:b w:val="false"/>
                <w:bCs w:val="false"/>
                <w:color w:val="1B2138"/>
                <w:sz w:val="18"/>
                <w:szCs w:val="18"/>
              </w:rPr>
              <w:t xml:space="preserve">Document ID</w:t>
            </w:r>
          </w:p>
        </w:tc>
        <w:tc>
          <w:tcPr>
            <w:tcMar>
              <w:top w:type="dxa" w:w="60"/>
              <w:left w:type="dxa" w:w="90"/>
              <w:bottom w:type="dxa" w:w="60"/>
              <w:right w:type="dxa" w:w="90"/>
            </w:tcMar>
          </w:tcPr>
          <w:p>
            <w:r>
              <w:rPr>
                <w:b w:val="false"/>
                <w:bCs w:val="false"/>
                <w:color w:val="1B2138"/>
                <w:sz w:val="18"/>
                <w:szCs w:val="18"/>
              </w:rPr>
              <w:t xml:space="preserve">PD-DRP-001</w:t>
            </w:r>
          </w:p>
        </w:tc>
      </w:tr>
      <w:tr>
        <w:tc>
          <w:tcPr>
            <w:shd w:fill="F2F4FB"/>
            <w:tcMar>
              <w:top w:type="dxa" w:w="60"/>
              <w:left w:type="dxa" w:w="90"/>
              <w:bottom w:type="dxa" w:w="60"/>
              <w:right w:type="dxa" w:w="90"/>
            </w:tcMar>
          </w:tcPr>
          <w:p>
            <w:r>
              <w:rPr>
                <w:b w:val="false"/>
                <w:bCs w:val="false"/>
                <w:color w:val="1B2138"/>
                <w:sz w:val="18"/>
                <w:szCs w:val="18"/>
              </w:rPr>
              <w:t xml:space="preserve">Version</w:t>
            </w:r>
          </w:p>
        </w:tc>
        <w:tc>
          <w:tcPr>
            <w:shd w:fill="F2F4FB"/>
            <w:tcMar>
              <w:top w:type="dxa" w:w="60"/>
              <w:left w:type="dxa" w:w="90"/>
              <w:bottom w:type="dxa" w:w="60"/>
              <w:right w:type="dxa" w:w="90"/>
            </w:tcMar>
          </w:tcPr>
          <w:p>
            <w:r>
              <w:rPr>
                <w:b w:val="false"/>
                <w:bCs w:val="false"/>
                <w:color w:val="1B2138"/>
                <w:sz w:val="18"/>
                <w:szCs w:val="18"/>
              </w:rPr>
              <w:t xml:space="preserve">1.0</w:t>
            </w:r>
          </w:p>
        </w:tc>
      </w:tr>
      <w:tr>
        <w:tc>
          <w:tcPr>
            <w:tcMar>
              <w:top w:type="dxa" w:w="60"/>
              <w:left w:type="dxa" w:w="90"/>
              <w:bottom w:type="dxa" w:w="60"/>
              <w:right w:type="dxa" w:w="90"/>
            </w:tcMar>
          </w:tcPr>
          <w:p>
            <w:r>
              <w:rPr>
                <w:b w:val="false"/>
                <w:bCs w:val="false"/>
                <w:color w:val="1B2138"/>
                <w:sz w:val="18"/>
                <w:szCs w:val="18"/>
              </w:rPr>
              <w:t xml:space="preserve">Date</w:t>
            </w:r>
          </w:p>
        </w:tc>
        <w:tc>
          <w:tcPr>
            <w:tcMar>
              <w:top w:type="dxa" w:w="60"/>
              <w:left w:type="dxa" w:w="90"/>
              <w:bottom w:type="dxa" w:w="60"/>
              <w:right w:type="dxa" w:w="90"/>
            </w:tcMar>
          </w:tcPr>
          <w:p>
            <w:r>
              <w:rPr>
                <w:b w:val="false"/>
                <w:bCs w:val="false"/>
                <w:color w:val="1B2138"/>
                <w:sz w:val="18"/>
                <w:szCs w:val="18"/>
              </w:rPr>
              <w:t xml:space="preserve">2026-08-01</w:t>
            </w:r>
          </w:p>
        </w:tc>
      </w:tr>
      <w:tr>
        <w:tc>
          <w:tcPr>
            <w:shd w:fill="F2F4FB"/>
            <w:tcMar>
              <w:top w:type="dxa" w:w="60"/>
              <w:left w:type="dxa" w:w="90"/>
              <w:bottom w:type="dxa" w:w="60"/>
              <w:right w:type="dxa" w:w="90"/>
            </w:tcMar>
          </w:tcPr>
          <w:p>
            <w:r>
              <w:rPr>
                <w:b w:val="false"/>
                <w:bCs w:val="false"/>
                <w:color w:val="1B2138"/>
                <w:sz w:val="18"/>
                <w:szCs w:val="18"/>
              </w:rPr>
              <w:t xml:space="preserve">Prepared by</w:t>
            </w:r>
          </w:p>
        </w:tc>
        <w:tc>
          <w:tcPr>
            <w:shd w:fill="F2F4FB"/>
            <w:tcMar>
              <w:top w:type="dxa" w:w="60"/>
              <w:left w:type="dxa" w:w="90"/>
              <w:bottom w:type="dxa" w:w="60"/>
              <w:right w:type="dxa" w:w="90"/>
            </w:tcMar>
          </w:tcPr>
          <w:p>
            <w:r>
              <w:rPr>
                <w:b w:val="false"/>
                <w:bCs w:val="false"/>
                <w:color w:val="1B2138"/>
                <w:sz w:val="18"/>
                <w:szCs w:val="18"/>
              </w:rPr>
              <w:t xml:space="preserve">TandSol</w:t>
            </w:r>
          </w:p>
        </w:tc>
      </w:tr>
      <w:tr>
        <w:tc>
          <w:tcPr>
            <w:tcMar>
              <w:top w:type="dxa" w:w="60"/>
              <w:left w:type="dxa" w:w="90"/>
              <w:bottom w:type="dxa" w:w="60"/>
              <w:right w:type="dxa" w:w="90"/>
            </w:tcMar>
          </w:tcPr>
          <w:p>
            <w:r>
              <w:rPr>
                <w:b w:val="false"/>
                <w:bCs w:val="false"/>
                <w:color w:val="1B2138"/>
                <w:sz w:val="18"/>
                <w:szCs w:val="18"/>
              </w:rPr>
              <w:t xml:space="preserve">Status</w:t>
            </w:r>
          </w:p>
        </w:tc>
        <w:tc>
          <w:tcPr>
            <w:tcMar>
              <w:top w:type="dxa" w:w="60"/>
              <w:left w:type="dxa" w:w="90"/>
              <w:bottom w:type="dxa" w:w="60"/>
              <w:right w:type="dxa" w:w="90"/>
            </w:tcMar>
          </w:tcPr>
          <w:p>
            <w:r>
              <w:rPr>
                <w:b w:val="false"/>
                <w:bCs w:val="false"/>
                <w:color w:val="1B2138"/>
                <w:sz w:val="18"/>
                <w:szCs w:val="18"/>
              </w:rPr>
              <w:t xml:space="preserve">Living</w:t>
            </w:r>
          </w:p>
        </w:tc>
      </w:tr>
      <w:tr>
        <w:tc>
          <w:tcPr>
            <w:shd w:fill="F2F4FB"/>
            <w:tcMar>
              <w:top w:type="dxa" w:w="60"/>
              <w:left w:type="dxa" w:w="90"/>
              <w:bottom w:type="dxa" w:w="60"/>
              <w:right w:type="dxa" w:w="90"/>
            </w:tcMar>
          </w:tcPr>
          <w:p>
            <w:r>
              <w:rPr>
                <w:b w:val="false"/>
                <w:bCs w:val="false"/>
                <w:color w:val="1B2138"/>
                <w:sz w:val="18"/>
                <w:szCs w:val="18"/>
              </w:rPr>
              <w:t xml:space="preserve">Related documents</w:t>
            </w:r>
          </w:p>
        </w:tc>
        <w:tc>
          <w:tcPr>
            <w:shd w:fill="F2F4FB"/>
            <w:tcMar>
              <w:top w:type="dxa" w:w="60"/>
              <w:left w:type="dxa" w:w="90"/>
              <w:bottom w:type="dxa" w:w="60"/>
              <w:right w:type="dxa" w:w="90"/>
            </w:tcMar>
          </w:tcPr>
          <w:p>
            <w:r>
              <w:rPr>
                <w:b w:val="false"/>
                <w:bCs w:val="false"/>
                <w:color w:val="1B2138"/>
                <w:sz w:val="18"/>
                <w:szCs w:val="18"/>
              </w:rPr>
              <w:t xml:space="preserve">PD-DPDP-001, PD-SDD-001, PD-CHR-001</w:t>
            </w:r>
          </w:p>
        </w:tc>
      </w:tr>
      <w:tr>
        <w:tc>
          <w:tcPr>
            <w:tcMar>
              <w:top w:type="dxa" w:w="60"/>
              <w:left w:type="dxa" w:w="90"/>
              <w:bottom w:type="dxa" w:w="60"/>
              <w:right w:type="dxa" w:w="90"/>
            </w:tcMar>
          </w:tcPr>
          <w:p>
            <w:r>
              <w:rPr>
                <w:b w:val="false"/>
                <w:bCs w:val="false"/>
                <w:color w:val="1B2138"/>
                <w:sz w:val="18"/>
                <w:szCs w:val="18"/>
              </w:rPr>
              <w:t xml:space="preserve">Classification</w:t>
            </w:r>
          </w:p>
        </w:tc>
        <w:tc>
          <w:tcPr>
            <w:tcMar>
              <w:top w:type="dxa" w:w="60"/>
              <w:left w:type="dxa" w:w="90"/>
              <w:bottom w:type="dxa" w:w="60"/>
              <w:right w:type="dxa" w:w="90"/>
            </w:tcMar>
          </w:tcPr>
          <w:p>
            <w:r>
              <w:rPr>
                <w:b w:val="false"/>
                <w:bCs w:val="false"/>
                <w:color w:val="1B2138"/>
                <w:sz w:val="18"/>
                <w:szCs w:val="18"/>
              </w:rPr>
              <w:t xml:space="preserve">Internal</w:t>
            </w:r>
          </w:p>
        </w:tc>
      </w:tr>
      <w:tr>
        <w:tc>
          <w:tcPr>
            <w:shd w:fill="F2F4FB"/>
            <w:tcMar>
              <w:top w:type="dxa" w:w="60"/>
              <w:left w:type="dxa" w:w="90"/>
              <w:bottom w:type="dxa" w:w="60"/>
              <w:right w:type="dxa" w:w="90"/>
            </w:tcMar>
          </w:tcPr>
          <w:p>
            <w:r>
              <w:rPr>
                <w:b w:val="false"/>
                <w:bCs w:val="false"/>
                <w:color w:val="1B2138"/>
                <w:sz w:val="18"/>
                <w:szCs w:val="18"/>
              </w:rPr>
              <w:t xml:space="preserve">Revision note</w:t>
            </w:r>
          </w:p>
        </w:tc>
        <w:tc>
          <w:tcPr>
            <w:shd w:fill="F2F4FB"/>
            <w:tcMar>
              <w:top w:type="dxa" w:w="60"/>
              <w:left w:type="dxa" w:w="90"/>
              <w:bottom w:type="dxa" w:w="60"/>
              <w:right w:type="dxa" w:w="90"/>
            </w:tcMar>
          </w:tcPr>
          <w:p>
            <w:r>
              <w:rPr>
                <w:b w:val="false"/>
                <w:bCs w:val="false"/>
                <w:color w:val="1B2138"/>
                <w:sz w:val="18"/>
                <w:szCs w:val="18"/>
              </w:rPr>
              <w:t xml:space="preserve">v1.0 — initial baseline issued with the first working build.</w:t>
            </w:r>
          </w:p>
        </w:tc>
      </w:tr>
    </w:tbl>
    <w:p>
      <w:pPr>
        <w:spacing w:after="240"/>
      </w:pPr>
    </w:p>
    <w:p>
      <w:pPr>
        <w:pStyle w:val="Heading1"/>
        <w:spacing w:after="120" w:before="240"/>
      </w:pPr>
      <w:r>
        <w:t xml:space="preserve">1. Purpose and scope</w:t>
      </w:r>
    </w:p>
    <w:p>
      <w:pPr>
        <w:spacing w:after="120"/>
      </w:pPr>
      <w:r>
        <w:t xml:space="preserve">This policy states what PulseDesk stores, where it stores it, for how long, and how it is erased. It covers everything the application writes to disk on the user machine. It does not cover data held by the third-party services the application reads from, because the application sends them no user data beyond ticker symbols and, unless overridden, an IP-derived coordinate pair.</w:t>
      </w:r>
    </w:p>
    <w:p>
      <w:pPr>
        <w:pStyle w:val="Heading1"/>
        <w:spacing w:after="120" w:before="240"/>
      </w:pPr>
      <w:r>
        <w:t xml:space="preserve">2. Data categories</w:t>
      </w:r>
    </w:p>
    <w:tbl>
      <w:tblPr>
        <w:tblW w:type="pct" w:w="100%"/>
        <w:tblBorders>
          <w:top w:val="single" w:color="D8DEF0" w:sz="2"/>
          <w:left w:val="single" w:color="D8DEF0" w:sz="2"/>
          <w:bottom w:val="single" w:color="D8DEF0" w:sz="2"/>
          <w:right w:val="single" w:color="D8DEF0" w:sz="2"/>
          <w:insideH w:val="single" w:color="D8DEF0" w:sz="2"/>
          <w:insideV w:val="single" w:color="D8DEF0" w:sz="2"/>
        </w:tblBorders>
      </w:tblPr>
      <w:tblGrid>
        <w:gridCol w:w="2000"/>
        <w:gridCol w:w="2800"/>
        <w:gridCol w:w="2800"/>
        <w:gridCol w:w="2400"/>
      </w:tblGrid>
      <w:tr>
        <w:trPr>
          <w:tblHeader/>
        </w:trPr>
        <w:tc>
          <w:tcPr>
            <w:shd w:fill="3B2E7E"/>
            <w:tcMar>
              <w:top w:type="dxa" w:w="60"/>
              <w:left w:type="dxa" w:w="90"/>
              <w:bottom w:type="dxa" w:w="60"/>
              <w:right w:type="dxa" w:w="90"/>
            </w:tcMar>
          </w:tcPr>
          <w:p>
            <w:r>
              <w:rPr>
                <w:b/>
                <w:bCs/>
                <w:color w:val="FFFFFF"/>
                <w:sz w:val="18"/>
                <w:szCs w:val="18"/>
              </w:rPr>
              <w:t xml:space="preserve">Category</w:t>
            </w:r>
          </w:p>
        </w:tc>
        <w:tc>
          <w:tcPr>
            <w:shd w:fill="3B2E7E"/>
            <w:tcMar>
              <w:top w:type="dxa" w:w="60"/>
              <w:left w:type="dxa" w:w="90"/>
              <w:bottom w:type="dxa" w:w="60"/>
              <w:right w:type="dxa" w:w="90"/>
            </w:tcMar>
          </w:tcPr>
          <w:p>
            <w:r>
              <w:rPr>
                <w:b/>
                <w:bCs/>
                <w:color w:val="FFFFFF"/>
                <w:sz w:val="18"/>
                <w:szCs w:val="18"/>
              </w:rPr>
              <w:t xml:space="preserve">Examples</w:t>
            </w:r>
          </w:p>
        </w:tc>
        <w:tc>
          <w:tcPr>
            <w:shd w:fill="3B2E7E"/>
            <w:tcMar>
              <w:top w:type="dxa" w:w="60"/>
              <w:left w:type="dxa" w:w="90"/>
              <w:bottom w:type="dxa" w:w="60"/>
              <w:right w:type="dxa" w:w="90"/>
            </w:tcMar>
          </w:tcPr>
          <w:p>
            <w:r>
              <w:rPr>
                <w:b/>
                <w:bCs/>
                <w:color w:val="FFFFFF"/>
                <w:sz w:val="18"/>
                <w:szCs w:val="18"/>
              </w:rPr>
              <w:t xml:space="preserve">Retention trigger / period</w:t>
            </w:r>
          </w:p>
        </w:tc>
        <w:tc>
          <w:tcPr>
            <w:shd w:fill="3B2E7E"/>
            <w:tcMar>
              <w:top w:type="dxa" w:w="60"/>
              <w:left w:type="dxa" w:w="90"/>
              <w:bottom w:type="dxa" w:w="60"/>
              <w:right w:type="dxa" w:w="90"/>
            </w:tcMar>
          </w:tcPr>
          <w:p>
            <w:r>
              <w:rPr>
                <w:b/>
                <w:bCs/>
                <w:color w:val="FFFFFF"/>
                <w:sz w:val="18"/>
                <w:szCs w:val="18"/>
              </w:rPr>
              <w:t xml:space="preserve">Legal basis</w:t>
            </w:r>
          </w:p>
        </w:tc>
      </w:tr>
      <w:tr>
        <w:tc>
          <w:tcPr>
            <w:tcMar>
              <w:top w:type="dxa" w:w="60"/>
              <w:left w:type="dxa" w:w="90"/>
              <w:bottom w:type="dxa" w:w="60"/>
              <w:right w:type="dxa" w:w="90"/>
            </w:tcMar>
          </w:tcPr>
          <w:p>
            <w:r>
              <w:rPr>
                <w:b w:val="false"/>
                <w:bCs w:val="false"/>
                <w:color w:val="1B2138"/>
                <w:sz w:val="18"/>
                <w:szCs w:val="18"/>
              </w:rPr>
              <w:t xml:space="preserve">Portfolio holdings</w:t>
            </w:r>
          </w:p>
        </w:tc>
        <w:tc>
          <w:tcPr>
            <w:tcMar>
              <w:top w:type="dxa" w:w="60"/>
              <w:left w:type="dxa" w:w="90"/>
              <w:bottom w:type="dxa" w:w="60"/>
              <w:right w:type="dxa" w:w="90"/>
            </w:tcMar>
          </w:tcPr>
          <w:p>
            <w:r>
              <w:rPr>
                <w:b w:val="false"/>
                <w:bCs w:val="false"/>
                <w:color w:val="1B2138"/>
                <w:sz w:val="18"/>
                <w:szCs w:val="18"/>
              </w:rPr>
              <w:t xml:space="preserve">Symbol, quantity, average buy price, buy date</w:t>
            </w:r>
          </w:p>
        </w:tc>
        <w:tc>
          <w:tcPr>
            <w:tcMar>
              <w:top w:type="dxa" w:w="60"/>
              <w:left w:type="dxa" w:w="90"/>
              <w:bottom w:type="dxa" w:w="60"/>
              <w:right w:type="dxa" w:w="90"/>
            </w:tcMar>
          </w:tcPr>
          <w:p>
            <w:r>
              <w:rPr>
                <w:b w:val="false"/>
                <w:bCs w:val="false"/>
                <w:color w:val="1B2138"/>
                <w:sz w:val="18"/>
                <w:szCs w:val="18"/>
              </w:rPr>
              <w:t xml:space="preserve">Held until the user deletes the holding or the data folder</w:t>
            </w:r>
          </w:p>
        </w:tc>
        <w:tc>
          <w:tcPr>
            <w:tcMar>
              <w:top w:type="dxa" w:w="60"/>
              <w:left w:type="dxa" w:w="90"/>
              <w:bottom w:type="dxa" w:w="60"/>
              <w:right w:type="dxa" w:w="90"/>
            </w:tcMar>
          </w:tcPr>
          <w:p>
            <w:r>
              <w:rPr>
                <w:b w:val="false"/>
                <w:bCs w:val="false"/>
                <w:color w:val="1B2138"/>
                <w:sz w:val="18"/>
                <w:szCs w:val="18"/>
              </w:rPr>
              <w:t xml:space="preserve">User instruction — data exists solely to render their own dashboard</w:t>
            </w:r>
          </w:p>
        </w:tc>
      </w:tr>
      <w:tr>
        <w:tc>
          <w:tcPr>
            <w:shd w:fill="F2F4FB"/>
            <w:tcMar>
              <w:top w:type="dxa" w:w="60"/>
              <w:left w:type="dxa" w:w="90"/>
              <w:bottom w:type="dxa" w:w="60"/>
              <w:right w:type="dxa" w:w="90"/>
            </w:tcMar>
          </w:tcPr>
          <w:p>
            <w:r>
              <w:rPr>
                <w:b w:val="false"/>
                <w:bCs w:val="false"/>
                <w:color w:val="1B2138"/>
                <w:sz w:val="18"/>
                <w:szCs w:val="18"/>
              </w:rPr>
              <w:t xml:space="preserve">Closed trades</w:t>
            </w:r>
          </w:p>
        </w:tc>
        <w:tc>
          <w:tcPr>
            <w:shd w:fill="F2F4FB"/>
            <w:tcMar>
              <w:top w:type="dxa" w:w="60"/>
              <w:left w:type="dxa" w:w="90"/>
              <w:bottom w:type="dxa" w:w="60"/>
              <w:right w:type="dxa" w:w="90"/>
            </w:tcMar>
          </w:tcPr>
          <w:p>
            <w:r>
              <w:rPr>
                <w:b w:val="false"/>
                <w:bCs w:val="false"/>
                <w:color w:val="1B2138"/>
                <w:sz w:val="18"/>
                <w:szCs w:val="18"/>
              </w:rPr>
              <w:t xml:space="preserve">Symbol, quantity, buy price, sell price, date</w:t>
            </w:r>
          </w:p>
        </w:tc>
        <w:tc>
          <w:tcPr>
            <w:shd w:fill="F2F4FB"/>
            <w:tcMar>
              <w:top w:type="dxa" w:w="60"/>
              <w:left w:type="dxa" w:w="90"/>
              <w:bottom w:type="dxa" w:w="60"/>
              <w:right w:type="dxa" w:w="90"/>
            </w:tcMar>
          </w:tcPr>
          <w:p>
            <w:r>
              <w:rPr>
                <w:b w:val="false"/>
                <w:bCs w:val="false"/>
                <w:color w:val="1B2138"/>
                <w:sz w:val="18"/>
                <w:szCs w:val="18"/>
              </w:rPr>
              <w:t xml:space="preserve">Held until the user clears portfolio.json</w:t>
            </w:r>
          </w:p>
        </w:tc>
        <w:tc>
          <w:tcPr>
            <w:shd w:fill="F2F4FB"/>
            <w:tcMar>
              <w:top w:type="dxa" w:w="60"/>
              <w:left w:type="dxa" w:w="90"/>
              <w:bottom w:type="dxa" w:w="60"/>
              <w:right w:type="dxa" w:w="90"/>
            </w:tcMar>
          </w:tcPr>
          <w:p>
            <w:r>
              <w:rPr>
                <w:b w:val="false"/>
                <w:bCs w:val="false"/>
                <w:color w:val="1B2138"/>
                <w:sz w:val="18"/>
                <w:szCs w:val="18"/>
              </w:rPr>
              <w:t xml:space="preserve">Needed to show realised P&amp;L</w:t>
            </w:r>
          </w:p>
        </w:tc>
      </w:tr>
      <w:tr>
        <w:tc>
          <w:tcPr>
            <w:tcMar>
              <w:top w:type="dxa" w:w="60"/>
              <w:left w:type="dxa" w:w="90"/>
              <w:bottom w:type="dxa" w:w="60"/>
              <w:right w:type="dxa" w:w="90"/>
            </w:tcMar>
          </w:tcPr>
          <w:p>
            <w:r>
              <w:rPr>
                <w:b w:val="false"/>
                <w:bCs w:val="false"/>
                <w:color w:val="1B2138"/>
                <w:sz w:val="18"/>
                <w:szCs w:val="18"/>
              </w:rPr>
              <w:t xml:space="preserve">Net-worth history</w:t>
            </w:r>
          </w:p>
        </w:tc>
        <w:tc>
          <w:tcPr>
            <w:tcMar>
              <w:top w:type="dxa" w:w="60"/>
              <w:left w:type="dxa" w:w="90"/>
              <w:bottom w:type="dxa" w:w="60"/>
              <w:right w:type="dxa" w:w="90"/>
            </w:tcMar>
          </w:tcPr>
          <w:p>
            <w:r>
              <w:rPr>
                <w:b w:val="false"/>
                <w:bCs w:val="false"/>
                <w:color w:val="1B2138"/>
                <w:sz w:val="18"/>
                <w:szCs w:val="18"/>
              </w:rPr>
              <w:t xml:space="preserve">Date, portfolio value, unrealised P&amp;L</w:t>
            </w:r>
          </w:p>
        </w:tc>
        <w:tc>
          <w:tcPr>
            <w:tcMar>
              <w:top w:type="dxa" w:w="60"/>
              <w:left w:type="dxa" w:w="90"/>
              <w:bottom w:type="dxa" w:w="60"/>
              <w:right w:type="dxa" w:w="90"/>
            </w:tcMar>
          </w:tcPr>
          <w:p>
            <w:r>
              <w:rPr>
                <w:b w:val="false"/>
                <w:bCs w:val="false"/>
                <w:color w:val="1B2138"/>
                <w:sz w:val="18"/>
                <w:szCs w:val="18"/>
              </w:rPr>
              <w:t xml:space="preserve">Rolling 400 entries, oldest dropped automatically</w:t>
            </w:r>
          </w:p>
        </w:tc>
        <w:tc>
          <w:tcPr>
            <w:tcMar>
              <w:top w:type="dxa" w:w="60"/>
              <w:left w:type="dxa" w:w="90"/>
              <w:bottom w:type="dxa" w:w="60"/>
              <w:right w:type="dxa" w:w="90"/>
            </w:tcMar>
          </w:tcPr>
          <w:p>
            <w:r>
              <w:rPr>
                <w:b w:val="false"/>
                <w:bCs w:val="false"/>
                <w:color w:val="1B2138"/>
                <w:sz w:val="18"/>
                <w:szCs w:val="18"/>
              </w:rPr>
              <w:t xml:space="preserve">Needed to draw the value trend</w:t>
            </w:r>
          </w:p>
        </w:tc>
      </w:tr>
      <w:tr>
        <w:tc>
          <w:tcPr>
            <w:shd w:fill="F2F4FB"/>
            <w:tcMar>
              <w:top w:type="dxa" w:w="60"/>
              <w:left w:type="dxa" w:w="90"/>
              <w:bottom w:type="dxa" w:w="60"/>
              <w:right w:type="dxa" w:w="90"/>
            </w:tcMar>
          </w:tcPr>
          <w:p>
            <w:r>
              <w:rPr>
                <w:b w:val="false"/>
                <w:bCs w:val="false"/>
                <w:color w:val="1B2138"/>
                <w:sz w:val="18"/>
                <w:szCs w:val="18"/>
              </w:rPr>
              <w:t xml:space="preserve">Application settings</w:t>
            </w:r>
          </w:p>
        </w:tc>
        <w:tc>
          <w:tcPr>
            <w:shd w:fill="F2F4FB"/>
            <w:tcMar>
              <w:top w:type="dxa" w:w="60"/>
              <w:left w:type="dxa" w:w="90"/>
              <w:bottom w:type="dxa" w:w="60"/>
              <w:right w:type="dxa" w:w="90"/>
            </w:tcMar>
          </w:tcPr>
          <w:p>
            <w:r>
              <w:rPr>
                <w:b w:val="false"/>
                <w:bCs w:val="false"/>
                <w:color w:val="1B2138"/>
                <w:sz w:val="18"/>
                <w:szCs w:val="18"/>
              </w:rPr>
              <w:t xml:space="preserve">Window bounds, pinning, opacity, compact mode, hype universe, manual coordinates, cash balance</w:t>
            </w:r>
          </w:p>
        </w:tc>
        <w:tc>
          <w:tcPr>
            <w:shd w:fill="F2F4FB"/>
            <w:tcMar>
              <w:top w:type="dxa" w:w="60"/>
              <w:left w:type="dxa" w:w="90"/>
              <w:bottom w:type="dxa" w:w="60"/>
              <w:right w:type="dxa" w:w="90"/>
            </w:tcMar>
          </w:tcPr>
          <w:p>
            <w:r>
              <w:rPr>
                <w:b w:val="false"/>
                <w:bCs w:val="false"/>
                <w:color w:val="1B2138"/>
                <w:sz w:val="18"/>
                <w:szCs w:val="18"/>
              </w:rPr>
              <w:t xml:space="preserve">Held until reset or folder deletion</w:t>
            </w:r>
          </w:p>
        </w:tc>
        <w:tc>
          <w:tcPr>
            <w:shd w:fill="F2F4FB"/>
            <w:tcMar>
              <w:top w:type="dxa" w:w="60"/>
              <w:left w:type="dxa" w:w="90"/>
              <w:bottom w:type="dxa" w:w="60"/>
              <w:right w:type="dxa" w:w="90"/>
            </w:tcMar>
          </w:tcPr>
          <w:p>
            <w:r>
              <w:rPr>
                <w:b w:val="false"/>
                <w:bCs w:val="false"/>
                <w:color w:val="1B2138"/>
                <w:sz w:val="18"/>
                <w:szCs w:val="18"/>
              </w:rPr>
              <w:t xml:space="preserve">Needed to restore the user layout</w:t>
            </w:r>
          </w:p>
        </w:tc>
      </w:tr>
      <w:tr>
        <w:tc>
          <w:tcPr>
            <w:tcMar>
              <w:top w:type="dxa" w:w="60"/>
              <w:left w:type="dxa" w:w="90"/>
              <w:bottom w:type="dxa" w:w="60"/>
              <w:right w:type="dxa" w:w="90"/>
            </w:tcMar>
          </w:tcPr>
          <w:p>
            <w:r>
              <w:rPr>
                <w:b w:val="false"/>
                <w:bCs w:val="false"/>
                <w:color w:val="1B2138"/>
                <w:sz w:val="18"/>
                <w:szCs w:val="18"/>
              </w:rPr>
              <w:t xml:space="preserve">Browser app data (web build)</w:t>
            </w:r>
          </w:p>
        </w:tc>
        <w:tc>
          <w:tcPr>
            <w:tcMar>
              <w:top w:type="dxa" w:w="60"/>
              <w:left w:type="dxa" w:w="90"/>
              <w:bottom w:type="dxa" w:w="60"/>
              <w:right w:type="dxa" w:w="90"/>
            </w:tcMar>
          </w:tcPr>
          <w:p>
            <w:r>
              <w:rPr>
                <w:b w:val="false"/>
                <w:bCs w:val="false"/>
                <w:color w:val="1B2138"/>
                <w:sz w:val="18"/>
                <w:szCs w:val="18"/>
              </w:rPr>
              <w:t xml:space="preserve">Holdings, base currency, cash, settings, value history, random visitor id</w:t>
            </w:r>
          </w:p>
        </w:tc>
        <w:tc>
          <w:tcPr>
            <w:tcMar>
              <w:top w:type="dxa" w:w="60"/>
              <w:left w:type="dxa" w:w="90"/>
              <w:bottom w:type="dxa" w:w="60"/>
              <w:right w:type="dxa" w:w="90"/>
            </w:tcMar>
          </w:tcPr>
          <w:p>
            <w:r>
              <w:rPr>
                <w:b w:val="false"/>
                <w:bCs w:val="false"/>
                <w:color w:val="1B2138"/>
                <w:sz w:val="18"/>
                <w:szCs w:val="18"/>
              </w:rPr>
              <w:t xml:space="preserve">Held until the user clears site data for the domain</w:t>
            </w:r>
          </w:p>
        </w:tc>
        <w:tc>
          <w:tcPr>
            <w:tcMar>
              <w:top w:type="dxa" w:w="60"/>
              <w:left w:type="dxa" w:w="90"/>
              <w:bottom w:type="dxa" w:w="60"/>
              <w:right w:type="dxa" w:w="90"/>
            </w:tcMar>
          </w:tcPr>
          <w:p>
            <w:r>
              <w:rPr>
                <w:b w:val="false"/>
                <w:bCs w:val="false"/>
                <w:color w:val="1B2138"/>
                <w:sz w:val="18"/>
                <w:szCs w:val="18"/>
              </w:rPr>
              <w:t xml:space="preserve">User instruction — the web build stores nothing on a server</w:t>
            </w:r>
          </w:p>
        </w:tc>
      </w:tr>
      <w:tr>
        <w:tc>
          <w:tcPr>
            <w:shd w:fill="F2F4FB"/>
            <w:tcMar>
              <w:top w:type="dxa" w:w="60"/>
              <w:left w:type="dxa" w:w="90"/>
              <w:bottom w:type="dxa" w:w="60"/>
              <w:right w:type="dxa" w:w="90"/>
            </w:tcMar>
          </w:tcPr>
          <w:p>
            <w:r>
              <w:rPr>
                <w:b w:val="false"/>
                <w:bCs w:val="false"/>
                <w:color w:val="1B2138"/>
                <w:sz w:val="18"/>
                <w:szCs w:val="18"/>
              </w:rPr>
              <w:t xml:space="preserve">Usage events (web build)</w:t>
            </w:r>
          </w:p>
        </w:tc>
        <w:tc>
          <w:tcPr>
            <w:shd w:fill="F2F4FB"/>
            <w:tcMar>
              <w:top w:type="dxa" w:w="60"/>
              <w:left w:type="dxa" w:w="90"/>
              <w:bottom w:type="dxa" w:w="60"/>
              <w:right w:type="dxa" w:w="90"/>
            </w:tcMar>
          </w:tcPr>
          <w:p>
            <w:r>
              <w:rPr>
                <w:b w:val="false"/>
                <w:bCs w:val="false"/>
                <w:color w:val="1B2138"/>
                <w:sz w:val="18"/>
                <w:szCs w:val="18"/>
              </w:rPr>
              <w:t xml:space="preserve">Random visitor id, date, timestamp, open or heartbeat, platform, two-letter country</w:t>
            </w:r>
          </w:p>
        </w:tc>
        <w:tc>
          <w:tcPr>
            <w:shd w:fill="F2F4FB"/>
            <w:tcMar>
              <w:top w:type="dxa" w:w="60"/>
              <w:left w:type="dxa" w:w="90"/>
              <w:bottom w:type="dxa" w:w="60"/>
              <w:right w:type="dxa" w:w="90"/>
            </w:tcMar>
          </w:tcPr>
          <w:p>
            <w:r>
              <w:rPr>
                <w:b w:val="false"/>
                <w:bCs w:val="false"/>
                <w:color w:val="1B2138"/>
                <w:sz w:val="18"/>
                <w:szCs w:val="18"/>
              </w:rPr>
              <w:t xml:space="preserve">Rolling 90 days, older rows deleted automatically</w:t>
            </w:r>
          </w:p>
        </w:tc>
        <w:tc>
          <w:tcPr>
            <w:shd w:fill="F2F4FB"/>
            <w:tcMar>
              <w:top w:type="dxa" w:w="60"/>
              <w:left w:type="dxa" w:w="90"/>
              <w:bottom w:type="dxa" w:w="60"/>
              <w:right w:type="dxa" w:w="90"/>
            </w:tcMar>
          </w:tcPr>
          <w:p>
            <w:r>
              <w:rPr>
                <w:b w:val="false"/>
                <w:bCs w:val="false"/>
                <w:color w:val="1B2138"/>
                <w:sz w:val="18"/>
                <w:szCs w:val="18"/>
              </w:rPr>
              <w:t xml:space="preserve">Legitimate interest in knowing how many devices use the app; no identifier, IP, cookie or account is stored</w:t>
            </w:r>
          </w:p>
        </w:tc>
      </w:tr>
      <w:tr>
        <w:tc>
          <w:tcPr>
            <w:tcMar>
              <w:top w:type="dxa" w:w="60"/>
              <w:left w:type="dxa" w:w="90"/>
              <w:bottom w:type="dxa" w:w="60"/>
              <w:right w:type="dxa" w:w="90"/>
            </w:tcMar>
          </w:tcPr>
          <w:p>
            <w:r>
              <w:rPr>
                <w:b w:val="false"/>
                <w:bCs w:val="false"/>
                <w:color w:val="1B2138"/>
                <w:sz w:val="18"/>
                <w:szCs w:val="18"/>
              </w:rPr>
              <w:t xml:space="preserve">In-memory API cache</w:t>
            </w:r>
          </w:p>
        </w:tc>
        <w:tc>
          <w:tcPr>
            <w:tcMar>
              <w:top w:type="dxa" w:w="60"/>
              <w:left w:type="dxa" w:w="90"/>
              <w:bottom w:type="dxa" w:w="60"/>
              <w:right w:type="dxa" w:w="90"/>
            </w:tcMar>
          </w:tcPr>
          <w:p>
            <w:r>
              <w:rPr>
                <w:b w:val="false"/>
                <w:bCs w:val="false"/>
                <w:color w:val="1B2138"/>
                <w:sz w:val="18"/>
                <w:szCs w:val="18"/>
              </w:rPr>
              <w:t xml:space="preserve">Recent third-party responses</w:t>
            </w:r>
          </w:p>
        </w:tc>
        <w:tc>
          <w:tcPr>
            <w:tcMar>
              <w:top w:type="dxa" w:w="60"/>
              <w:left w:type="dxa" w:w="90"/>
              <w:bottom w:type="dxa" w:w="60"/>
              <w:right w:type="dxa" w:w="90"/>
            </w:tcMar>
          </w:tcPr>
          <w:p>
            <w:r>
              <w:rPr>
                <w:b w:val="false"/>
                <w:bCs w:val="false"/>
                <w:color w:val="1B2138"/>
                <w:sz w:val="18"/>
                <w:szCs w:val="18"/>
              </w:rPr>
              <w:t xml:space="preserve">Discarded when the process exits; TTL 2–360 minutes</w:t>
            </w:r>
          </w:p>
        </w:tc>
        <w:tc>
          <w:tcPr>
            <w:tcMar>
              <w:top w:type="dxa" w:w="60"/>
              <w:left w:type="dxa" w:w="90"/>
              <w:bottom w:type="dxa" w:w="60"/>
              <w:right w:type="dxa" w:w="90"/>
            </w:tcMar>
          </w:tcPr>
          <w:p>
            <w:r>
              <w:rPr>
                <w:b w:val="false"/>
                <w:bCs w:val="false"/>
                <w:color w:val="1B2138"/>
                <w:sz w:val="18"/>
                <w:szCs w:val="18"/>
              </w:rPr>
              <w:t xml:space="preserve">Rate-limit protection</w:t>
            </w:r>
          </w:p>
        </w:tc>
      </w:tr>
      <w:tr>
        <w:tc>
          <w:tcPr>
            <w:shd w:fill="F2F4FB"/>
            <w:tcMar>
              <w:top w:type="dxa" w:w="60"/>
              <w:left w:type="dxa" w:w="90"/>
              <w:bottom w:type="dxa" w:w="60"/>
              <w:right w:type="dxa" w:w="90"/>
            </w:tcMar>
          </w:tcPr>
          <w:p>
            <w:r>
              <w:rPr>
                <w:b w:val="false"/>
                <w:bCs w:val="false"/>
                <w:color w:val="1B2138"/>
                <w:sz w:val="18"/>
                <w:szCs w:val="18"/>
              </w:rPr>
              <w:t xml:space="preserve">Edge cache</w:t>
            </w:r>
          </w:p>
        </w:tc>
        <w:tc>
          <w:tcPr>
            <w:shd w:fill="F2F4FB"/>
            <w:tcMar>
              <w:top w:type="dxa" w:w="60"/>
              <w:left w:type="dxa" w:w="90"/>
              <w:bottom w:type="dxa" w:w="60"/>
              <w:right w:type="dxa" w:w="90"/>
            </w:tcMar>
          </w:tcPr>
          <w:p>
            <w:r>
              <w:rPr>
                <w:b w:val="false"/>
                <w:bCs w:val="false"/>
                <w:color w:val="1B2138"/>
                <w:sz w:val="18"/>
                <w:szCs w:val="18"/>
              </w:rPr>
              <w:t xml:space="preserve">Market, news and weather responses shared across all users</w:t>
            </w:r>
          </w:p>
        </w:tc>
        <w:tc>
          <w:tcPr>
            <w:shd w:fill="F2F4FB"/>
            <w:tcMar>
              <w:top w:type="dxa" w:w="60"/>
              <w:left w:type="dxa" w:w="90"/>
              <w:bottom w:type="dxa" w:w="60"/>
              <w:right w:type="dxa" w:w="90"/>
            </w:tcMar>
          </w:tcPr>
          <w:p>
            <w:r>
              <w:rPr>
                <w:b w:val="false"/>
                <w:bCs w:val="false"/>
                <w:color w:val="1B2138"/>
                <w:sz w:val="18"/>
                <w:szCs w:val="18"/>
              </w:rPr>
              <w:t xml:space="preserve">Expires automatically after 60 s to 30 min</w:t>
            </w:r>
          </w:p>
        </w:tc>
        <w:tc>
          <w:tcPr>
            <w:shd w:fill="F2F4FB"/>
            <w:tcMar>
              <w:top w:type="dxa" w:w="60"/>
              <w:left w:type="dxa" w:w="90"/>
              <w:bottom w:type="dxa" w:w="60"/>
              <w:right w:type="dxa" w:w="90"/>
            </w:tcMar>
          </w:tcPr>
          <w:p>
            <w:r>
              <w:rPr>
                <w:b w:val="false"/>
                <w:bCs w:val="false"/>
                <w:color w:val="1B2138"/>
                <w:sz w:val="18"/>
                <w:szCs w:val="18"/>
              </w:rPr>
              <w:t xml:space="preserve">Rate-limit protection; contains no user data</w:t>
            </w:r>
          </w:p>
        </w:tc>
      </w:tr>
      <w:tr>
        <w:tc>
          <w:tcPr>
            <w:tcMar>
              <w:top w:type="dxa" w:w="60"/>
              <w:left w:type="dxa" w:w="90"/>
              <w:bottom w:type="dxa" w:w="60"/>
              <w:right w:type="dxa" w:w="90"/>
            </w:tcMar>
          </w:tcPr>
          <w:p>
            <w:r>
              <w:rPr>
                <w:b w:val="false"/>
                <w:bCs w:val="false"/>
                <w:color w:val="1B2138"/>
                <w:sz w:val="18"/>
                <w:szCs w:val="18"/>
              </w:rPr>
              <w:t xml:space="preserve">Chromium cache</w:t>
            </w:r>
          </w:p>
        </w:tc>
        <w:tc>
          <w:tcPr>
            <w:tcMar>
              <w:top w:type="dxa" w:w="60"/>
              <w:left w:type="dxa" w:w="90"/>
              <w:bottom w:type="dxa" w:w="60"/>
              <w:right w:type="dxa" w:w="90"/>
            </w:tcMar>
          </w:tcPr>
          <w:p>
            <w:r>
              <w:rPr>
                <w:b w:val="false"/>
                <w:bCs w:val="false"/>
                <w:color w:val="1B2138"/>
                <w:sz w:val="18"/>
                <w:szCs w:val="18"/>
              </w:rPr>
              <w:t xml:space="preserve">Standard Electron/Chromium cache directories</w:t>
            </w:r>
          </w:p>
        </w:tc>
        <w:tc>
          <w:tcPr>
            <w:tcMar>
              <w:top w:type="dxa" w:w="60"/>
              <w:left w:type="dxa" w:w="90"/>
              <w:bottom w:type="dxa" w:w="60"/>
              <w:right w:type="dxa" w:w="90"/>
            </w:tcMar>
          </w:tcPr>
          <w:p>
            <w:r>
              <w:rPr>
                <w:b w:val="false"/>
                <w:bCs w:val="false"/>
                <w:color w:val="1B2138"/>
                <w:sz w:val="18"/>
                <w:szCs w:val="18"/>
              </w:rPr>
              <w:t xml:space="preserve">Managed by Chromium; cleared with the data folder</w:t>
            </w:r>
          </w:p>
        </w:tc>
        <w:tc>
          <w:tcPr>
            <w:tcMar>
              <w:top w:type="dxa" w:w="60"/>
              <w:left w:type="dxa" w:w="90"/>
              <w:bottom w:type="dxa" w:w="60"/>
              <w:right w:type="dxa" w:w="90"/>
            </w:tcMar>
          </w:tcPr>
          <w:p>
            <w:r>
              <w:rPr>
                <w:b w:val="false"/>
                <w:bCs w:val="false"/>
                <w:color w:val="1B2138"/>
                <w:sz w:val="18"/>
                <w:szCs w:val="18"/>
              </w:rPr>
              <w:t xml:space="preserve">Runtime requirement</w:t>
            </w:r>
          </w:p>
        </w:tc>
      </w:tr>
    </w:tbl>
    <w:p>
      <w:pPr>
        <w:pStyle w:val="Heading1"/>
        <w:spacing w:after="120" w:before="240"/>
      </w:pPr>
      <w:r>
        <w:t xml:space="preserve">3. Storage location</w:t>
      </w:r>
    </w:p>
    <w:p>
      <w:pPr>
        <w:spacing w:after="120"/>
      </w:pPr>
      <w:r>
        <w:t xml:space="preserve">All application data is written to the Electron userData directory, which on Windows is %APPDATA%\pulse-desk. Nothing is written to the repository, to a cloud service or to any server. The tray menu offers a direct shortcut to this folder so the user can inspect, back up or delete the files at any time.</w:t>
      </w:r>
    </w:p>
    <w:p>
      <w:pPr>
        <w:pStyle w:val="Heading1"/>
        <w:spacing w:after="120" w:before="240"/>
      </w:pPr>
      <w:r>
        <w:t xml:space="preserve">4. Erasure process</w:t>
      </w:r>
    </w:p>
    <w:p>
      <w:pPr>
        <w:pStyle w:val="ListParagraph"/>
        <w:numPr>
          <w:ilvl w:val="0"/>
          <w:numId w:val="1"/>
        </w:numPr>
        <w:spacing w:after="60"/>
      </w:pPr>
      <w:r>
        <w:t xml:space="preserve">A single holding is erased by removing it in the portfolio card; the row is deleted from portfolio.json immediately.</w:t>
      </w:r>
    </w:p>
    <w:p>
      <w:pPr>
        <w:pStyle w:val="ListParagraph"/>
        <w:numPr>
          <w:ilvl w:val="0"/>
          <w:numId w:val="1"/>
        </w:numPr>
        <w:spacing w:after="60"/>
      </w:pPr>
      <w:r>
        <w:t xml:space="preserve">The entire portfolio is erased by deleting portfolio.json, or by replacing its contents through the import channel.</w:t>
      </w:r>
    </w:p>
    <w:p>
      <w:pPr>
        <w:pStyle w:val="ListParagraph"/>
        <w:numPr>
          <w:ilvl w:val="0"/>
          <w:numId w:val="1"/>
        </w:numPr>
        <w:spacing w:after="60"/>
      </w:pPr>
      <w:r>
        <w:t xml:space="preserve">The value history is erased by deleting history.json; the chart simply starts rebuilding from the next snapshot.</w:t>
      </w:r>
    </w:p>
    <w:p>
      <w:pPr>
        <w:pStyle w:val="ListParagraph"/>
        <w:numPr>
          <w:ilvl w:val="0"/>
          <w:numId w:val="1"/>
        </w:numPr>
        <w:spacing w:after="60"/>
      </w:pPr>
      <w:r>
        <w:t xml:space="preserve">All application data, including window state and cached Chromium files, is erased by deleting %APPDATA%\pulse-desk.</w:t>
      </w:r>
    </w:p>
    <w:p>
      <w:pPr>
        <w:pStyle w:val="ListParagraph"/>
        <w:numPr>
          <w:ilvl w:val="0"/>
          <w:numId w:val="1"/>
        </w:numPr>
        <w:spacing w:after="60"/>
      </w:pPr>
      <w:r>
        <w:t xml:space="preserve">Uninstalling the packaged application does not remove the data folder — this is deliberate, so an upgrade does not wipe holdings. Users who want a clean removal delete the folder as well.</w:t>
      </w:r>
    </w:p>
    <w:p>
      <w:pPr>
        <w:pStyle w:val="Heading1"/>
        <w:spacing w:after="120" w:before="240"/>
      </w:pPr>
      <w:r>
        <w:t xml:space="preserve">5. Third-party calls</w:t>
      </w:r>
    </w:p>
    <w:p>
      <w:pPr>
        <w:spacing w:after="120"/>
      </w:pPr>
      <w:r>
        <w:t xml:space="preserve">The application makes outbound requests to Yahoo Finance, Stooq, Binance, CoinGecko, alternative.me, Open-Meteo, the IP geolocation providers and the listed news publishers. These requests carry ticker symbols, currency pairs and coordinates. They do not carry quantities, purchase prices, portfolio totals, a device identifier or an account, because none exists. Setting manual latitude and longitude in settings removes the geolocation lookup entirely and is the recommended configuration for privacy-sensitive users.</w:t>
      </w:r>
    </w:p>
    <w:p>
      <w:pPr>
        <w:pStyle w:val="Heading1"/>
        <w:spacing w:after="120" w:before="240"/>
      </w:pPr>
      <w:r>
        <w:t xml:space="preserve">6. Known gaps</w:t>
      </w:r>
    </w:p>
    <w:p>
      <w:pPr>
        <w:pStyle w:val="ListParagraph"/>
        <w:numPr>
          <w:ilvl w:val="0"/>
          <w:numId w:val="1"/>
        </w:numPr>
        <w:spacing w:after="60"/>
      </w:pPr>
      <w:r>
        <w:t xml:space="preserve">Data at rest is not encrypted; it relies on the operating system user profile for protection. Appropriate for a single-user desktop, insufficient for a shared machine.</w:t>
      </w:r>
    </w:p>
    <w:p>
      <w:pPr>
        <w:pStyle w:val="ListParagraph"/>
        <w:numPr>
          <w:ilvl w:val="0"/>
          <w:numId w:val="1"/>
        </w:numPr>
        <w:spacing w:after="60"/>
      </w:pPr>
      <w:r>
        <w:t xml:space="preserve">There is no scheduled purge of the value history beyond the rolling four-hundred-entry cap.</w:t>
      </w:r>
    </w:p>
    <w:p>
      <w:pPr>
        <w:pStyle w:val="ListParagraph"/>
        <w:numPr>
          <w:ilvl w:val="0"/>
          <w:numId w:val="1"/>
        </w:numPr>
        <w:spacing w:after="60"/>
      </w:pPr>
      <w:r>
        <w:t xml:space="preserve">A dedicated grievance contact is not yet published; the repository maintainer is the current contact point. Tracked as DP-09.</w:t>
      </w:r>
    </w:p>
    <w:p>
      <w:pPr>
        <w:pStyle w:val="ListParagraph"/>
        <w:numPr>
          <w:ilvl w:val="0"/>
          <w:numId w:val="1"/>
        </w:numPr>
        <w:spacing w:after="60"/>
      </w:pPr>
      <w:r>
        <w:t xml:space="preserve">A formal breach advisory template has not been written. Tracked as DP-07.</w:t>
      </w:r>
    </w:p>
    <w:p>
      <w:pPr>
        <w:pStyle w:val="Heading1"/>
        <w:spacing w:after="120" w:before="240"/>
      </w:pPr>
      <w:r>
        <w:t xml:space="preserve">7. Ownership and review</w:t>
      </w:r>
    </w:p>
    <w:p>
      <w:pPr>
        <w:spacing w:after="120"/>
      </w:pPr>
      <w:r>
        <w:t xml:space="preserve">Owned by TandSol. Reviewed every six months, or immediately when a new data category is introduced, a new outbound endpoint is added, or a hosted component is proposed. Next scheduled review: 2027-02-01.</w:t>
      </w:r>
    </w:p>
    <w:p>
      <w:pPr>
        <w:spacing w:before="400"/>
        <w:jc w:val="center"/>
      </w:pPr>
      <w:r>
        <w:rPr>
          <w:i/>
          <w:iCs/>
          <w:color w:val="6B7391"/>
          <w:sz w:val="16"/>
          <w:szCs w:val="16"/>
        </w:rPr>
        <w:t xml:space="preserve">PulseDesk · TandSol · v1.0 · 2026-08-01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21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egoe UI" w:cs="Segoe UI" w:eastAsia="Segoe UI" w:hAnsi="Segoe UI"/>
      <w:b/>
      <w:bCs/>
      <w:color w:val="3B2E7E"/>
      <w:sz w:val="30"/>
      <w:szCs w:val="30"/>
    </w:rPr>
  </w:style>
  <w:style w:type="paragraph" w:styleId="Heading2">
    <w:name w:val="Heading 2"/>
    <w:basedOn w:val="Normal"/>
    <w:next w:val="Normal"/>
    <w:qFormat/>
    <w:rPr>
      <w:rFonts w:ascii="Segoe UI" w:cs="Segoe UI" w:eastAsia="Segoe UI" w:hAnsi="Segoe UI"/>
      <w:b/>
      <w:bCs/>
      <w:color w:val="1B2138"/>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2026-08-01T03:31:17.800Z</dcterms:created>
  <dcterms:modified xsi:type="dcterms:W3CDTF">2026-08-01T03:31:17.800Z</dcterms:modified>
</cp:coreProperties>
</file>

<file path=docProps/custom.xml><?xml version="1.0" encoding="utf-8"?>
<Properties xmlns="http://schemas.openxmlformats.org/officeDocument/2006/custom-properties" xmlns:vt="http://schemas.openxmlformats.org/officeDocument/2006/docPropsVTypes"/>
</file>