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3B2E7E"/>
          <w:sz w:val="40"/>
          <w:szCs w:val="40"/>
        </w:rPr>
        <w:t xml:space="preserve">PulseDesk — Project Charter</w:t>
      </w:r>
    </w:p>
    <w:tbl>
      <w:tblPr>
        <w:tblW w:type="pct" w:w="100%"/>
        <w:tblBorders>
          <w:top w:val="single" w:color="D8DEF0" w:sz="2"/>
          <w:left w:val="single" w:color="D8DEF0" w:sz="2"/>
          <w:bottom w:val="single" w:color="D8DEF0" w:sz="2"/>
          <w:right w:val="single" w:color="D8DEF0" w:sz="2"/>
          <w:insideH w:val="single" w:color="D8DEF0" w:sz="2"/>
          <w:insideV w:val="single" w:color="D8DEF0" w:sz="2"/>
        </w:tblBorders>
      </w:tblPr>
      <w:tblGrid>
        <w:gridCol w:w="2200"/>
        <w:gridCol w:w="7400"/>
      </w:tblGrid>
      <w:tr>
        <w:trPr>
          <w:tblHeader/>
        </w:trPr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Document ID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PD-CHR-001</w:t>
            </w:r>
          </w:p>
        </w:tc>
      </w:tr>
      <w:tr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Version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2026-08-01</w:t>
            </w:r>
          </w:p>
        </w:tc>
      </w:tr>
      <w:tr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Prepared by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TandSol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Baselined</w:t>
            </w:r>
          </w:p>
        </w:tc>
      </w:tr>
      <w:tr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Related documents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PD-HB-001, PD-PMP-001, PD-RTM-001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Classification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Revision note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v1.0 — initial baseline issued with the first working build.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t xml:space="preserve">1. Purpose</w:t>
      </w:r>
    </w:p>
    <w:p>
      <w:pPr>
        <w:spacing w:after="120"/>
      </w:pPr>
      <w:r>
        <w:t xml:space="preserve">PulseDesk exists to put one screen of live market context permanently in front of a retail investor. Today that context is scattered across a broker app, two news sites, a crypto exchange and a weather widget, and the cost of switching between them is the reason people miss moves. The project collapses that surface into a single always-on-top desktop widget built entirely on free, keyless public APIs.</w:t>
      </w:r>
    </w:p>
    <w:p>
      <w:pPr>
        <w:pStyle w:val="Heading1"/>
        <w:spacing w:after="120" w:before="240"/>
      </w:pPr>
      <w:r>
        <w:t xml:space="preserve">2. Objectives and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 a Windows desktop application, not a browser tab, so the dashboard can float above whatever the user is working 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Operate at zero running cost — no paid data feeds, no API keys, no subscriptions.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all user financial data on the user machine; the app has no backend and no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Cover Indian and US markets together, since the target user holds both.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Stay legible and vibrant at a glance — this is a peripheral-vision instrument, not a research terminal.</w:t>
      </w:r>
    </w:p>
    <w:p>
      <w:pPr>
        <w:pStyle w:val="Heading1"/>
        <w:spacing w:after="120" w:before="240"/>
      </w:pPr>
      <w:r>
        <w:t xml:space="preserve">3. Scope</w:t>
      </w:r>
    </w:p>
    <w:p>
      <w:pPr>
        <w:pStyle w:val="Heading2"/>
        <w:spacing w:after="120" w:before="240"/>
      </w:pPr>
      <w:r>
        <w:t xml:space="preserve">3.1 Hype radar</w:t>
      </w:r>
    </w:p>
    <w:p>
      <w:pPr>
        <w:spacing w:after="120"/>
      </w:pPr>
      <w:r>
        <w:t xml:space="preserve">The five stocks drawing the most attention right now, ranked by a composite of unusual volume, the size of the day move, and how often the ticker appears in current headlines. Satisfies FUN-001 to FUN-003.</w:t>
      </w:r>
    </w:p>
    <w:p>
      <w:pPr>
        <w:pStyle w:val="Heading2"/>
        <w:spacing w:after="120" w:before="240"/>
      </w:pPr>
      <w:r>
        <w:t xml:space="preserve">3.2 Portfolio</w:t>
      </w:r>
    </w:p>
    <w:p>
      <w:pPr>
        <w:spacing w:after="120"/>
      </w:pPr>
      <w:r>
        <w:t xml:space="preserve">Holdings entry, live valuation, invested capital, unrealised and realised profit and loss, day profit and loss, allocation weights, idle cash and a net-worth trend, all expressed in a base currency of the user choosing. Satisfies FUN-004 to FUN-011 and FUN-030.</w:t>
      </w:r>
    </w:p>
    <w:p>
      <w:pPr>
        <w:pStyle w:val="Heading2"/>
        <w:spacing w:after="120" w:before="240"/>
      </w:pPr>
      <w:r>
        <w:t xml:space="preserve">3.3 News wire</w:t>
      </w:r>
    </w:p>
    <w:p>
      <w:pPr>
        <w:spacing w:after="120"/>
      </w:pPr>
      <w:r>
        <w:t xml:space="preserve">Fifteen ranked market headlines drawn from eight publishers, each carrying a rise, fall or flat direction call with a confidence figure, the tickers it names, and a link that opens in the system browser. Satisfies FUN-012 to FUN-016.</w:t>
      </w:r>
    </w:p>
    <w:p>
      <w:pPr>
        <w:pStyle w:val="Heading2"/>
        <w:spacing w:after="120" w:before="240"/>
      </w:pPr>
      <w:r>
        <w:t xml:space="preserve">3.4 Crypto momentum</w:t>
      </w:r>
    </w:p>
    <w:p>
      <w:pPr>
        <w:spacing w:after="120"/>
      </w:pPr>
      <w:r>
        <w:t xml:space="preserve">The ten strongest liquid USDT pairs over an exact trailing five-hour window, with 24-hour context, plus the Fear and Greed index, total market capitalisation and Bitcoin dominance. Satisfies FUN-017 to FUN-019.</w:t>
      </w:r>
    </w:p>
    <w:p>
      <w:pPr>
        <w:pStyle w:val="Heading2"/>
        <w:spacing w:after="120" w:before="240"/>
      </w:pPr>
      <w:r>
        <w:t xml:space="preserve">3.5 Market state</w:t>
      </w:r>
    </w:p>
    <w:p>
      <w:pPr>
        <w:spacing w:after="120"/>
      </w:pPr>
      <w:r>
        <w:t xml:space="preserve">A scrolling tape of Indian and US indices, commodities, USD/INR and Bitcoin; exchange session clocks with countdowns; and a breadth-derived market pulse score. Satisfies FUN-020 to FUN-022.</w:t>
      </w:r>
    </w:p>
    <w:p>
      <w:pPr>
        <w:pStyle w:val="Heading2"/>
        <w:spacing w:after="120" w:before="240"/>
      </w:pPr>
      <w:r>
        <w:t xml:space="preserve">3.6 Weather</w:t>
      </w:r>
    </w:p>
    <w:p>
      <w:pPr>
        <w:spacing w:after="120"/>
      </w:pPr>
      <w:r>
        <w:t xml:space="preserve">Current conditions, feels-like temperature, humidity, wind, rain probability, UV, air quality and an eight-hour outlook for the user location, resolvable by IP or by manual coordinates. Satisfies FUN-023 and FUN-024.</w:t>
      </w:r>
    </w:p>
    <w:p>
      <w:pPr>
        <w:pStyle w:val="Heading2"/>
        <w:spacing w:after="120" w:before="240"/>
      </w:pPr>
      <w:r>
        <w:t xml:space="preserve">3.7 Desktop behaviour</w:t>
      </w:r>
    </w:p>
    <w:p>
      <w:pPr>
        <w:spacing w:after="120"/>
      </w:pPr>
      <w:r>
        <w:t xml:space="preserve">Frameless always-on-top window, optional visibility on every virtual desktop, tray control, global shortcuts, adjustable opacity, click-through widget mode, compact layout, tiered auto-refresh and persistence of window state. Satisfies FUN-025 to FUN-029 and FUN-031.</w:t>
      </w:r>
    </w:p>
    <w:p>
      <w:pPr>
        <w:pStyle w:val="Heading2"/>
        <w:spacing w:after="120" w:before="240"/>
      </w:pPr>
      <w:r>
        <w:t xml:space="preserve">3.8 Free public distribution</w:t>
      </w:r>
    </w:p>
    <w:p>
      <w:pPr>
        <w:spacing w:after="120"/>
      </w:pPr>
      <w:r>
        <w:t xml:space="preserve">The same dashboard is published as an installable web application so anyone can use it on Android, iPhone or a desktop browser without a store, a fee or an account, alongside a downloadable Windows build. Hosting, delivery, the data relay and the usage counter must all sit inside permanently free tiers. Satisfies FUN-032 to FUN-035, FUN-038 and NFR-011 to NFR-013.</w:t>
      </w:r>
    </w:p>
    <w:p>
      <w:pPr>
        <w:pStyle w:val="Heading2"/>
        <w:spacing w:after="120" w:before="240"/>
      </w:pPr>
      <w:r>
        <w:t xml:space="preserve">3.9 Anonymous usage measurement</w:t>
      </w:r>
    </w:p>
    <w:p>
      <w:pPr>
        <w:spacing w:after="120"/>
      </w:pPr>
      <w:r>
        <w:t xml:space="preserve">The owner needs to know how many devices are using the app and how many times it is opened each day, without introducing a login and without collecting anything that identifies a person. Counts are surfaced on a private dashboard protected by a shared key. Satisfies FUN-036, FUN-037, SEC-011, SEC-012 and SEC-014.</w:t>
      </w:r>
    </w:p>
    <w:p>
      <w:pPr>
        <w:pStyle w:val="Heading2"/>
        <w:spacing w:after="120" w:before="240"/>
      </w:pPr>
      <w:r>
        <w:t xml:space="preserve">3.10 Attribution</w:t>
      </w:r>
    </w:p>
    <w:p>
      <w:pPr>
        <w:spacing w:after="120"/>
      </w:pPr>
      <w:r>
        <w:t xml:space="preserve">A subtle, permanent credit to the author appears in the status bar, the tray menu, the web manifest and the packaged application metadata. Satisfies FUN-039.</w:t>
      </w:r>
    </w:p>
    <w:p>
      <w:pPr>
        <w:pStyle w:val="Heading1"/>
        <w:spacing w:after="120" w:before="240"/>
      </w:pPr>
      <w:r>
        <w:t xml:space="preserve">4. Non-functional targets</w:t>
      </w:r>
    </w:p>
    <w:p>
      <w:pPr>
        <w:spacing w:after="120"/>
      </w:pPr>
      <w:r>
        <w:t xml:space="preserve">Cold start under three seconds; market data never older than sixty seconds while visible; a failing feed degrades that panel only and never blanks the dashboard; outbound calls pooled at eight concurrent requests to stay inside free rate limits; legible from 1240 px down to 620 px with no horizontal scrolling. Detailed in NFR-001 to NFR-010.</w:t>
      </w:r>
    </w:p>
    <w:p>
      <w:pPr>
        <w:pStyle w:val="Heading1"/>
        <w:spacing w:after="120" w:before="240"/>
      </w:pPr>
      <w:r>
        <w:t xml:space="preserve">5. Out of scope for this release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placement or any broker connectivity — the app never touches a trading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Personalised investment advice or recommendations.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broker statement import (roadmap item).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sync, multi-device state or user accounts.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 and Linux packaging.</w:t>
      </w:r>
    </w:p>
    <w:p>
      <w:pPr>
        <w:pStyle w:val="Heading1"/>
        <w:spacing w:after="120" w:before="240"/>
      </w:pPr>
      <w:r>
        <w:t xml:space="preserve">6. Stakeholders</w:t>
      </w:r>
    </w:p>
    <w:tbl>
      <w:tblPr>
        <w:tblW w:type="pct" w:w="100%"/>
        <w:tblBorders>
          <w:top w:val="single" w:color="D8DEF0" w:sz="2"/>
          <w:left w:val="single" w:color="D8DEF0" w:sz="2"/>
          <w:bottom w:val="single" w:color="D8DEF0" w:sz="2"/>
          <w:right w:val="single" w:color="D8DEF0" w:sz="2"/>
          <w:insideH w:val="single" w:color="D8DEF0" w:sz="2"/>
          <w:insideV w:val="single" w:color="D8DEF0" w:sz="2"/>
        </w:tblBorders>
      </w:tblPr>
      <w:tblGrid>
        <w:gridCol w:w="2400"/>
        <w:gridCol w:w="4600"/>
        <w:gridCol w:w="2600"/>
      </w:tblGrid>
      <w:tr>
        <w:trPr>
          <w:tblHeader/>
        </w:trPr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Owner (TandSol)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Scope, quality, release, risk acceptance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Approves baselines and changes</w:t>
            </w:r>
          </w:p>
        </w:tc>
      </w:tr>
      <w:tr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Primary user (investor)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Accuracy of P&amp;L, speed of the tape, clarity of the news call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Accepts or rejects the build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Data publishers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Fair, low-volume use of their public endpoints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Can withdraw access at any time</w:t>
            </w:r>
          </w:p>
        </w:tc>
      </w:tr>
      <w:tr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Maintainer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Codebase health, dependency currency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Implements approved changes</w:t>
            </w:r>
          </w:p>
        </w:tc>
      </w:tr>
    </w:tbl>
    <w:p>
      <w:pPr>
        <w:pStyle w:val="Heading1"/>
        <w:spacing w:after="120" w:before="240"/>
      </w:pPr>
      <w:r>
        <w:t xml:space="preserve">7. Success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seven requested panels render live data on a clean Windows install.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Portfolio figures reconcile against the broker statement for a sample of holdings.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window stays above other applications and survives a restart with its position intact.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paid dependency and no API key anywhere in the build.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requirement in PD-RTM-001 reaches Verified or has a dated action.</w:t>
      </w:r>
    </w:p>
    <w:p>
      <w:pPr>
        <w:pStyle w:val="Heading1"/>
        <w:spacing w:after="120" w:before="240"/>
      </w:pPr>
      <w:r>
        <w:t xml:space="preserve">8.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machine has a working internet connection during market hours.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 endpoints remain free to use at the volumes this app generates.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user enters holdings accurately, including corporate-action adjustments.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direction call is understood as headline tone, not a price forecast.</w:t>
      </w:r>
    </w:p>
    <w:p>
      <w:pPr>
        <w:pStyle w:val="Heading1"/>
        <w:spacing w:after="120" w:before="240"/>
      </w:pPr>
      <w:r>
        <w:t xml:space="preserve">9. Approval</w:t>
      </w:r>
    </w:p>
    <w:tbl>
      <w:tblPr>
        <w:tblW w:type="pct" w:w="100%"/>
        <w:tblBorders>
          <w:top w:val="single" w:color="D8DEF0" w:sz="2"/>
          <w:left w:val="single" w:color="D8DEF0" w:sz="2"/>
          <w:bottom w:val="single" w:color="D8DEF0" w:sz="2"/>
          <w:right w:val="single" w:color="D8DEF0" w:sz="2"/>
          <w:insideH w:val="single" w:color="D8DEF0" w:sz="2"/>
          <w:insideV w:val="single" w:color="D8DEF0" w:sz="2"/>
        </w:tblBorders>
      </w:tblPr>
      <w:tblGrid>
        <w:gridCol w:w="2400"/>
        <w:gridCol w:w="3200"/>
        <w:gridCol w:w="2000"/>
        <w:gridCol w:w="2000"/>
      </w:tblGrid>
      <w:tr>
        <w:trPr>
          <w:tblHeader/>
        </w:trPr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3B2E7E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Owner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TandSol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2026-08-01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Baselined</w:t>
            </w:r>
          </w:p>
        </w:tc>
      </w:tr>
      <w:tr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Primary user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Pending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—</w:t>
            </w:r>
          </w:p>
        </w:tc>
        <w:tc>
          <w:tcPr>
            <w:shd w:fill="F2F4FB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B2138"/>
                <w:sz w:val="18"/>
                <w:szCs w:val="18"/>
              </w:rPr>
              <w:t xml:space="preserve">Pending acceptance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6B7391"/>
          <w:sz w:val="16"/>
          <w:szCs w:val="16"/>
        </w:rPr>
        <w:t xml:space="preserve">PulseDesk · TandSol · v1.0 · 2026-08-01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213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egoe UI" w:cs="Segoe UI" w:eastAsia="Segoe UI" w:hAnsi="Segoe UI"/>
      <w:b/>
      <w:bCs/>
      <w:color w:val="3B2E7E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Segoe UI" w:cs="Segoe UI" w:eastAsia="Segoe UI" w:hAnsi="Segoe UI"/>
      <w:b/>
      <w:bCs/>
      <w:color w:val="1B2138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2026-08-01T03:31:17.726Z</dcterms:created>
  <dcterms:modified xsi:type="dcterms:W3CDTF">2026-08-01T03:31:17.726Z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