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3B2E7E"/>
          <w:sz w:val="40"/>
          <w:szCs w:val="40"/>
        </w:rPr>
        <w:t xml:space="preserve">PulseDesk — Software Design Document</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2200"/>
        <w:gridCol w:w="7400"/>
      </w:tblGrid>
      <w:tr>
        <w:trPr>
          <w:tblHeader/>
        </w:trPr>
        <w:tc>
          <w:tcPr>
            <w:shd w:fill="3B2E7E"/>
            <w:tcMar>
              <w:top w:type="dxa" w:w="60"/>
              <w:left w:type="dxa" w:w="90"/>
              <w:bottom w:type="dxa" w:w="60"/>
              <w:right w:type="dxa" w:w="90"/>
            </w:tcMar>
          </w:tcPr>
          <w:p>
            <w:r>
              <w:rPr>
                <w:b/>
                <w:bCs/>
                <w:color w:val="FFFFFF"/>
                <w:sz w:val="18"/>
                <w:szCs w:val="18"/>
              </w:rPr>
              <w:t xml:space="preserve">Field</w:t>
            </w:r>
          </w:p>
        </w:tc>
        <w:tc>
          <w:tcPr>
            <w:shd w:fill="3B2E7E"/>
            <w:tcMar>
              <w:top w:type="dxa" w:w="60"/>
              <w:left w:type="dxa" w:w="90"/>
              <w:bottom w:type="dxa" w:w="60"/>
              <w:right w:type="dxa" w:w="90"/>
            </w:tcMar>
          </w:tcPr>
          <w:p>
            <w:r>
              <w:rPr>
                <w:b/>
                <w:bCs/>
                <w:color w:val="FFFFFF"/>
                <w:sz w:val="18"/>
                <w:szCs w:val="18"/>
              </w:rPr>
              <w:t xml:space="preserve">Value</w:t>
            </w:r>
          </w:p>
        </w:tc>
      </w:tr>
      <w:tr>
        <w:tc>
          <w:tcPr>
            <w:tcMar>
              <w:top w:type="dxa" w:w="60"/>
              <w:left w:type="dxa" w:w="90"/>
              <w:bottom w:type="dxa" w:w="60"/>
              <w:right w:type="dxa" w:w="90"/>
            </w:tcMar>
          </w:tcPr>
          <w:p>
            <w:r>
              <w:rPr>
                <w:b w:val="false"/>
                <w:bCs w:val="false"/>
                <w:color w:val="1B2138"/>
                <w:sz w:val="18"/>
                <w:szCs w:val="18"/>
              </w:rPr>
              <w:t xml:space="preserve">Document ID</w:t>
            </w:r>
          </w:p>
        </w:tc>
        <w:tc>
          <w:tcPr>
            <w:tcMar>
              <w:top w:type="dxa" w:w="60"/>
              <w:left w:type="dxa" w:w="90"/>
              <w:bottom w:type="dxa" w:w="60"/>
              <w:right w:type="dxa" w:w="90"/>
            </w:tcMar>
          </w:tcPr>
          <w:p>
            <w:r>
              <w:rPr>
                <w:b w:val="false"/>
                <w:bCs w:val="false"/>
                <w:color w:val="1B2138"/>
                <w:sz w:val="18"/>
                <w:szCs w:val="18"/>
              </w:rPr>
              <w:t xml:space="preserve">PD-SDD-001</w:t>
            </w:r>
          </w:p>
        </w:tc>
      </w:tr>
      <w:tr>
        <w:tc>
          <w:tcPr>
            <w:shd w:fill="F2F4FB"/>
            <w:tcMar>
              <w:top w:type="dxa" w:w="60"/>
              <w:left w:type="dxa" w:w="90"/>
              <w:bottom w:type="dxa" w:w="60"/>
              <w:right w:type="dxa" w:w="90"/>
            </w:tcMar>
          </w:tcPr>
          <w:p>
            <w:r>
              <w:rPr>
                <w:b w:val="false"/>
                <w:bCs w:val="false"/>
                <w:color w:val="1B2138"/>
                <w:sz w:val="18"/>
                <w:szCs w:val="18"/>
              </w:rPr>
              <w:t xml:space="preserve">Version</w:t>
            </w:r>
          </w:p>
        </w:tc>
        <w:tc>
          <w:tcPr>
            <w:shd w:fill="F2F4FB"/>
            <w:tcMar>
              <w:top w:type="dxa" w:w="60"/>
              <w:left w:type="dxa" w:w="90"/>
              <w:bottom w:type="dxa" w:w="60"/>
              <w:right w:type="dxa" w:w="90"/>
            </w:tcMar>
          </w:tcPr>
          <w:p>
            <w:r>
              <w:rPr>
                <w:b w:val="false"/>
                <w:bCs w:val="false"/>
                <w:color w:val="1B2138"/>
                <w:sz w:val="18"/>
                <w:szCs w:val="18"/>
              </w:rPr>
              <w:t xml:space="preserve">1.0</w:t>
            </w:r>
          </w:p>
        </w:tc>
      </w:tr>
      <w:tr>
        <w:tc>
          <w:tcPr>
            <w:tcMar>
              <w:top w:type="dxa" w:w="60"/>
              <w:left w:type="dxa" w:w="90"/>
              <w:bottom w:type="dxa" w:w="60"/>
              <w:right w:type="dxa" w:w="90"/>
            </w:tcMar>
          </w:tcPr>
          <w:p>
            <w:r>
              <w:rPr>
                <w:b w:val="false"/>
                <w:bCs w:val="false"/>
                <w:color w:val="1B2138"/>
                <w:sz w:val="18"/>
                <w:szCs w:val="18"/>
              </w:rPr>
              <w:t xml:space="preserve">Date</w:t>
            </w:r>
          </w:p>
        </w:tc>
        <w:tc>
          <w:tcPr>
            <w:tcMar>
              <w:top w:type="dxa" w:w="60"/>
              <w:left w:type="dxa" w:w="90"/>
              <w:bottom w:type="dxa" w:w="60"/>
              <w:right w:type="dxa" w:w="90"/>
            </w:tcMar>
          </w:tcPr>
          <w:p>
            <w:r>
              <w:rPr>
                <w:b w:val="false"/>
                <w:bCs w:val="false"/>
                <w:color w:val="1B2138"/>
                <w:sz w:val="18"/>
                <w:szCs w:val="18"/>
              </w:rPr>
              <w:t xml:space="preserve">2026-08-01</w:t>
            </w:r>
          </w:p>
        </w:tc>
      </w:tr>
      <w:tr>
        <w:tc>
          <w:tcPr>
            <w:shd w:fill="F2F4FB"/>
            <w:tcMar>
              <w:top w:type="dxa" w:w="60"/>
              <w:left w:type="dxa" w:w="90"/>
              <w:bottom w:type="dxa" w:w="60"/>
              <w:right w:type="dxa" w:w="90"/>
            </w:tcMar>
          </w:tcPr>
          <w:p>
            <w:r>
              <w:rPr>
                <w:b w:val="false"/>
                <w:bCs w:val="false"/>
                <w:color w:val="1B2138"/>
                <w:sz w:val="18"/>
                <w:szCs w:val="18"/>
              </w:rPr>
              <w:t xml:space="preserve">Prepared by</w:t>
            </w:r>
          </w:p>
        </w:tc>
        <w:tc>
          <w:tcPr>
            <w:shd w:fill="F2F4FB"/>
            <w:tcMar>
              <w:top w:type="dxa" w:w="60"/>
              <w:left w:type="dxa" w:w="90"/>
              <w:bottom w:type="dxa" w:w="60"/>
              <w:right w:type="dxa" w:w="90"/>
            </w:tcMar>
          </w:tcPr>
          <w:p>
            <w:r>
              <w:rPr>
                <w:b w:val="false"/>
                <w:bCs w:val="false"/>
                <w:color w:val="1B2138"/>
                <w:sz w:val="18"/>
                <w:szCs w:val="18"/>
              </w:rPr>
              <w:t xml:space="preserve">TandSol</w:t>
            </w:r>
          </w:p>
        </w:tc>
      </w:tr>
      <w:tr>
        <w:tc>
          <w:tcPr>
            <w:tcMar>
              <w:top w:type="dxa" w:w="60"/>
              <w:left w:type="dxa" w:w="90"/>
              <w:bottom w:type="dxa" w:w="60"/>
              <w:right w:type="dxa" w:w="90"/>
            </w:tcMar>
          </w:tcPr>
          <w:p>
            <w:r>
              <w:rPr>
                <w:b w:val="false"/>
                <w:bCs w:val="false"/>
                <w:color w:val="1B2138"/>
                <w:sz w:val="18"/>
                <w:szCs w:val="18"/>
              </w:rPr>
              <w:t xml:space="preserve">Status</w:t>
            </w:r>
          </w:p>
        </w:tc>
        <w:tc>
          <w:tcPr>
            <w:tcMar>
              <w:top w:type="dxa" w:w="60"/>
              <w:left w:type="dxa" w:w="90"/>
              <w:bottom w:type="dxa" w:w="60"/>
              <w:right w:type="dxa" w:w="90"/>
            </w:tcMar>
          </w:tcPr>
          <w:p>
            <w:r>
              <w:rPr>
                <w:b w:val="false"/>
                <w:bCs w:val="false"/>
                <w:color w:val="1B2138"/>
                <w:sz w:val="18"/>
                <w:szCs w:val="18"/>
              </w:rPr>
              <w:t xml:space="preserve">Baselined</w:t>
            </w:r>
          </w:p>
        </w:tc>
      </w:tr>
      <w:tr>
        <w:tc>
          <w:tcPr>
            <w:shd w:fill="F2F4FB"/>
            <w:tcMar>
              <w:top w:type="dxa" w:w="60"/>
              <w:left w:type="dxa" w:w="90"/>
              <w:bottom w:type="dxa" w:w="60"/>
              <w:right w:type="dxa" w:w="90"/>
            </w:tcMar>
          </w:tcPr>
          <w:p>
            <w:r>
              <w:rPr>
                <w:b w:val="false"/>
                <w:bCs w:val="false"/>
                <w:color w:val="1B2138"/>
                <w:sz w:val="18"/>
                <w:szCs w:val="18"/>
              </w:rPr>
              <w:t xml:space="preserve">Related documents</w:t>
            </w:r>
          </w:p>
        </w:tc>
        <w:tc>
          <w:tcPr>
            <w:shd w:fill="F2F4FB"/>
            <w:tcMar>
              <w:top w:type="dxa" w:w="60"/>
              <w:left w:type="dxa" w:w="90"/>
              <w:bottom w:type="dxa" w:w="60"/>
              <w:right w:type="dxa" w:w="90"/>
            </w:tcMar>
          </w:tcPr>
          <w:p>
            <w:r>
              <w:rPr>
                <w:b w:val="false"/>
                <w:bCs w:val="false"/>
                <w:color w:val="1B2138"/>
                <w:sz w:val="18"/>
                <w:szCs w:val="18"/>
              </w:rPr>
              <w:t xml:space="preserve">PD-RTM-001, PD-CR-001, PD-CHR-001</w:t>
            </w:r>
          </w:p>
        </w:tc>
      </w:tr>
      <w:tr>
        <w:tc>
          <w:tcPr>
            <w:tcMar>
              <w:top w:type="dxa" w:w="60"/>
              <w:left w:type="dxa" w:w="90"/>
              <w:bottom w:type="dxa" w:w="60"/>
              <w:right w:type="dxa" w:w="90"/>
            </w:tcMar>
          </w:tcPr>
          <w:p>
            <w:r>
              <w:rPr>
                <w:b w:val="false"/>
                <w:bCs w:val="false"/>
                <w:color w:val="1B2138"/>
                <w:sz w:val="18"/>
                <w:szCs w:val="18"/>
              </w:rPr>
              <w:t xml:space="preserve">Classification</w:t>
            </w:r>
          </w:p>
        </w:tc>
        <w:tc>
          <w:tcPr>
            <w:tcMar>
              <w:top w:type="dxa" w:w="60"/>
              <w:left w:type="dxa" w:w="90"/>
              <w:bottom w:type="dxa" w:w="60"/>
              <w:right w:type="dxa" w:w="90"/>
            </w:tcMar>
          </w:tcPr>
          <w:p>
            <w:r>
              <w:rPr>
                <w:b w:val="false"/>
                <w:bCs w:val="false"/>
                <w:color w:val="1B2138"/>
                <w:sz w:val="18"/>
                <w:szCs w:val="18"/>
              </w:rPr>
              <w:t xml:space="preserve">Internal</w:t>
            </w:r>
          </w:p>
        </w:tc>
      </w:tr>
      <w:tr>
        <w:tc>
          <w:tcPr>
            <w:shd w:fill="F2F4FB"/>
            <w:tcMar>
              <w:top w:type="dxa" w:w="60"/>
              <w:left w:type="dxa" w:w="90"/>
              <w:bottom w:type="dxa" w:w="60"/>
              <w:right w:type="dxa" w:w="90"/>
            </w:tcMar>
          </w:tcPr>
          <w:p>
            <w:r>
              <w:rPr>
                <w:b w:val="false"/>
                <w:bCs w:val="false"/>
                <w:color w:val="1B2138"/>
                <w:sz w:val="18"/>
                <w:szCs w:val="18"/>
              </w:rPr>
              <w:t xml:space="preserve">Revision note</w:t>
            </w:r>
          </w:p>
        </w:tc>
        <w:tc>
          <w:tcPr>
            <w:shd w:fill="F2F4FB"/>
            <w:tcMar>
              <w:top w:type="dxa" w:w="60"/>
              <w:left w:type="dxa" w:w="90"/>
              <w:bottom w:type="dxa" w:w="60"/>
              <w:right w:type="dxa" w:w="90"/>
            </w:tcMar>
          </w:tcPr>
          <w:p>
            <w:r>
              <w:rPr>
                <w:b w:val="false"/>
                <w:bCs w:val="false"/>
                <w:color w:val="1B2138"/>
                <w:sz w:val="18"/>
                <w:szCs w:val="18"/>
              </w:rPr>
              <w:t xml:space="preserve">v1.0 — initial baseline issued with the first working build.</w:t>
            </w:r>
          </w:p>
        </w:tc>
      </w:tr>
    </w:tbl>
    <w:p>
      <w:pPr>
        <w:spacing w:after="240"/>
      </w:pPr>
    </w:p>
    <w:p>
      <w:pPr>
        <w:pStyle w:val="Heading1"/>
        <w:spacing w:after="120" w:before="240"/>
      </w:pPr>
      <w:r>
        <w:t xml:space="preserve">1. Introduction</w:t>
      </w:r>
    </w:p>
    <w:p>
      <w:pPr>
        <w:spacing w:after="120"/>
      </w:pPr>
      <w:r>
        <w:t xml:space="preserve">This document describes how PulseDesk realises the requirements baselined in PD-RTM-001. Each section names the Req IDs it satisfies; the Code Register (PD-CR-001) maps those sections onto files.</w:t>
      </w:r>
    </w:p>
    <w:p>
      <w:pPr>
        <w:pStyle w:val="Heading1"/>
        <w:spacing w:after="120" w:before="240"/>
      </w:pPr>
      <w:r>
        <w:t xml:space="preserve">2. Architecture</w:t>
      </w:r>
    </w:p>
    <w:p>
      <w:pPr>
        <w:pStyle w:val="Heading2"/>
        <w:spacing w:after="120" w:before="240"/>
      </w:pPr>
      <w:r>
        <w:t xml:space="preserve">2.1 Overview</w:t>
      </w:r>
    </w:p>
    <w:p>
      <w:pPr>
        <w:spacing w:after="120"/>
      </w:pPr>
      <w:r>
        <w:t xml:space="preserve">Two processes. The Electron main process owns the window, the tray, the timers and every outbound network call; it holds the only copy of the aggregated payload. The renderer is a sandboxed page that receives payload patches over a narrow contextBridge API and draws them. No network call is ever made from the renderer, which keeps CORS irrelevant and keeps the attack surface of untrusted feed content inside a page that has no Node access.</w:t>
      </w:r>
    </w:p>
    <w:p>
      <w:pPr>
        <w:pStyle w:val="Heading2"/>
        <w:spacing w:after="120" w:before="240"/>
      </w:pPr>
      <w:r>
        <w:t xml:space="preserve">2.2 Technology decisions</w:t>
      </w:r>
    </w:p>
    <w:p>
      <w:pPr>
        <w:spacing w:after="120"/>
      </w:pPr>
      <w:r>
        <w:t xml:space="preserve">Electron was chosen because the requirement is a floating desktop widget, which a browser cannot provide. The renderer is plain HTML, CSS and JavaScript with no framework and no build step, so the shipped code is the code in the repository and can be audited directly; this satisfies NFR-009. Charts are hand-drawn inline SVG rather than a charting library, which keeps the content security policy strict and the bundle small. Storage is plain JSON in the Electron userData directory. Satisfies NFR-005 and NFR-009.</w:t>
      </w:r>
    </w:p>
    <w:p>
      <w:pPr>
        <w:pStyle w:val="Heading2"/>
        <w:spacing w:after="120" w:before="240"/>
      </w:pPr>
      <w:r>
        <w:t xml:space="preserve">2.3 Resilience strategy</w:t>
      </w:r>
    </w:p>
    <w:p>
      <w:pPr>
        <w:spacing w:after="120"/>
      </w:pPr>
      <w:r>
        <w:t xml:space="preserve">Every primary source has a fallback: Yahoo charts fall back to Stooq CSV, Binance falls back to CoinGecko, IP geolocation falls back through a second provider to a fixed default. Responses are cached with a time-to-live, and a failed refresh serves the last good value rather than clearing the panel. Failures are collected by name and surfaced in the status bar. Satisfies NFR-003 and NFR-010.</w:t>
      </w:r>
    </w:p>
    <w:p>
      <w:pPr>
        <w:pStyle w:val="Heading1"/>
        <w:spacing w:after="120" w:before="240"/>
      </w:pPr>
      <w:r>
        <w:t xml:space="preserve">3. Main process</w:t>
      </w:r>
    </w:p>
    <w:p>
      <w:pPr>
        <w:pStyle w:val="Heading2"/>
        <w:spacing w:after="120" w:before="240"/>
      </w:pPr>
      <w:r>
        <w:t xml:space="preserve">3.1 Startup</w:t>
      </w:r>
    </w:p>
    <w:p>
      <w:pPr>
        <w:spacing w:after="120"/>
      </w:pPr>
      <w:r>
        <w:t xml:space="preserve">A single-instance lock prevents a second copy. On ready the app generates its icon, loads settings, initialises the portfolio store, registers IPC handlers, creates the window and builds the tray. The first refresh of all three tiers is triggered once the renderer reports did-finish-load. Satisfies NFR-001.</w:t>
      </w:r>
    </w:p>
    <w:p>
      <w:pPr>
        <w:pStyle w:val="Heading2"/>
        <w:spacing w:after="120" w:before="240"/>
      </w:pPr>
      <w:r>
        <w:t xml:space="preserve">3.2 Window</w:t>
      </w:r>
    </w:p>
    <w:p>
      <w:pPr>
        <w:spacing w:after="120"/>
      </w:pPr>
      <w:r>
        <w:t xml:space="preserve">Frameless and transparent with no shadow, minimum size 420 by 320, positioned from saved bounds or against the top-right of the work area. Always-on-top is applied at the screen-saver level so the widget also floats over full-screen applications; visibility on all workspaces and opacity are applied from settings, and click-through mode forwards mouse events to whatever is underneath. Satisfies FUN-025 and FUN-019.</w:t>
      </w:r>
    </w:p>
    <w:p>
      <w:pPr>
        <w:pStyle w:val="Heading2"/>
        <w:spacing w:after="120" w:before="240"/>
      </w:pPr>
      <w:r>
        <w:t xml:space="preserve">3.3 Tray and shortcuts</w:t>
      </w:r>
    </w:p>
    <w:p>
      <w:pPr>
        <w:spacing w:after="120"/>
      </w:pPr>
      <w:r>
        <w:t xml:space="preserve">The tray icon is generated at runtime by a small PNG encoder rather than shipped as a binary asset, so the repository stays text-only. Its menu toggles visibility, pinning, click-through, all-desktops and opacity, resets the window position, opens the data folder and quits. Ctrl+Alt+P toggles the window and Ctrl+Alt+R forces a refresh. Closing the window leaves the app resident in the tray. Satisfies FUN-026, FUN-027 and NFR-008.</w:t>
      </w:r>
    </w:p>
    <w:p>
      <w:pPr>
        <w:pStyle w:val="Heading2"/>
        <w:spacing w:after="120" w:before="240"/>
      </w:pPr>
      <w:r>
        <w:t xml:space="preserve">3.4 Refresh tiers</w:t>
      </w:r>
    </w:p>
    <w:p>
      <w:pPr>
        <w:spacing w:after="120"/>
      </w:pPr>
      <w:r>
        <w:t xml:space="preserve">Three intervals match how fast each dataset actually moves: sixty seconds for indices, portfolio valuation, crypto and session state; five minutes for the news wire and the hype ranking, which depends on the news mention counts; thirty minutes for weather. Each tier broadcasts only the keys it refreshed, and the renderer patches only those sections. Satisfies FUN-028 and NFR-002.</w:t>
      </w:r>
    </w:p>
    <w:p>
      <w:pPr>
        <w:pStyle w:val="Heading2"/>
        <w:spacing w:after="120" w:before="240"/>
      </w:pPr>
      <w:r>
        <w:t xml:space="preserve">3.5 External links</w:t>
      </w:r>
    </w:p>
    <w:p>
      <w:pPr>
        <w:spacing w:after="120"/>
      </w:pPr>
      <w:r>
        <w:t xml:space="preserve">window.open is denied outright and headline links are passed to shell.openExternal after a scheme check that accepts http and https only. Satisfies FUN-016, SEC-004 and SEC-005.</w:t>
      </w:r>
    </w:p>
    <w:p>
      <w:pPr>
        <w:pStyle w:val="Heading2"/>
        <w:spacing w:after="120" w:before="240"/>
      </w:pPr>
      <w:r>
        <w:t xml:space="preserve">3.6 Persistence</w:t>
      </w:r>
    </w:p>
    <w:p>
      <w:pPr>
        <w:spacing w:after="120"/>
      </w:pPr>
      <w:r>
        <w:t xml:space="preserve">Window bounds are written on move and resize; settings are written on every change. Both live in settings.json in userData, alongside portfolio.json and history.json. Satisfies FUN-029.</w:t>
      </w:r>
    </w:p>
    <w:p>
      <w:pPr>
        <w:pStyle w:val="Heading2"/>
        <w:spacing w:after="120" w:before="240"/>
      </w:pPr>
      <w:r>
        <w:t xml:space="preserve">3.7 Network discipline</w:t>
      </w:r>
    </w:p>
    <w:p>
      <w:pPr>
        <w:spacing w:after="120"/>
      </w:pPr>
      <w:r>
        <w:t xml:space="preserve">A shared helper wraps fetch with an abort-controller timeout, a browser user-agent, a time-to-live cache that serves stale data on failure, and a pool that caps concurrency at six to eight requests. Satisfies NFR-004 and SEC-009.</w:t>
      </w:r>
    </w:p>
    <w:p>
      <w:pPr>
        <w:pStyle w:val="Heading1"/>
        <w:spacing w:after="120" w:before="240"/>
      </w:pPr>
      <w:r>
        <w:t xml:space="preserve">4. Data services</w:t>
      </w:r>
    </w:p>
    <w:p>
      <w:pPr>
        <w:pStyle w:val="Heading2"/>
        <w:spacing w:after="120" w:before="240"/>
      </w:pPr>
      <w:r>
        <w:t xml:space="preserve">4.1 Index tape</w:t>
      </w:r>
    </w:p>
    <w:p>
      <w:pPr>
        <w:spacing w:after="120"/>
      </w:pPr>
      <w:r>
        <w:t xml:space="preserve">A fixed basket of twelve instruments spanning Indian and US indices, volatility, metals, crude, USD/INR and Bitcoin is fetched as daily candles. Day change is computed from the second-to-last daily close rather than the chart meta previous close, because on a multi-day range that field refers to the close before the whole range. Satisfies FUN-020.</w:t>
      </w:r>
    </w:p>
    <w:p>
      <w:pPr>
        <w:pStyle w:val="Heading2"/>
        <w:spacing w:after="120" w:before="240"/>
      </w:pPr>
      <w:r>
        <w:t xml:space="preserve">4.2 Hype scoring</w:t>
      </w:r>
    </w:p>
    <w:p>
      <w:pPr>
        <w:spacing w:after="120"/>
      </w:pPr>
      <w:r>
        <w:t xml:space="preserve">Candidates come from Yahoo trending, a curated list of liquid Indian and US names, the user holdings and any ticker named in the current headlines. Each candidate is fetched as one month of daily candles, giving both a twenty-day average volume baseline and the day move. The score weights volume ratio at 0.45, absolute move at 0.35 and news mentions at 0.20, each min-max normalised across the candidate set so the components are comparable, and each card carries the plain-English reason it ranked. Satisfies FUN-001 to FUN-003.</w:t>
      </w:r>
    </w:p>
    <w:p>
      <w:pPr>
        <w:pStyle w:val="Heading2"/>
        <w:spacing w:after="120" w:before="240"/>
      </w:pPr>
      <w:r>
        <w:t xml:space="preserve">4.3 News aggregation</w:t>
      </w:r>
    </w:p>
    <w:p>
      <w:pPr>
        <w:spacing w:after="120"/>
      </w:pPr>
      <w:r>
        <w:t xml:space="preserve">Eight RSS and Atom feeds are fetched in parallel and parsed without an XML dependency. Entities are decoded twice because publishers frequently double-encode, and a repair pass handles feeds that ship entities with the ampersand already stripped. Headlines are de-duplicated on a normalised nine-word key, scored for tone, scanned for tickers by name, cashtag and alias, then ranked by a blend of tone strength, ticker count and recency. The top fifteen are returned along with the mention counts the hype scorer consumes. Satisfies FUN-012, FUN-014 and FUN-015.</w:t>
      </w:r>
    </w:p>
    <w:p>
      <w:pPr>
        <w:pStyle w:val="Heading2"/>
        <w:spacing w:after="120" w:before="240"/>
      </w:pPr>
      <w:r>
        <w:t xml:space="preserve">4.4 Direction call</w:t>
      </w:r>
    </w:p>
    <w:p>
      <w:pPr>
        <w:spacing w:after="120"/>
      </w:pPr>
      <w:r>
        <w:t xml:space="preserve">A market-specific lexicon assigns weights to roughly one hundred and fifty bullish and bearish phrases. A negation window before each hit flips and dampens its contribution, hedging language scales the whole score down, and an explicit percentage in the headline adds magnitude in the direction already indicated. The result maps to RISE, FALL or FLAT with a confidence derived from score magnitude and hit count. This is a tone classifier over headline text, not a price model, and the interface labels it as such. Satisfies FUN-013 and mitigates RSK-004.</w:t>
      </w:r>
    </w:p>
    <w:p>
      <w:pPr>
        <w:pStyle w:val="Heading2"/>
        <w:spacing w:after="120" w:before="240"/>
      </w:pPr>
      <w:r>
        <w:t xml:space="preserve">4.5 Portfolio valuation</w:t>
      </w:r>
    </w:p>
    <w:p>
      <w:pPr>
        <w:spacing w:after="120"/>
      </w:pPr>
      <w:r>
        <w:t xml:space="preserve">Holdings are stored as symbol, quantity, average price and buy date; a repeat buy of the same symbol merges by weighted average rather than creating a second row. Valuation fetches a live quote per holding, resolves each quote currency to the base currency through a live FX cross, and derives invested, current value, unrealised profit and loss, day profit and loss from previous close, and allocation weight. Realised profit and loss comes from the trade log, which is appended when a holding is closed with a sell price. A daily net-worth snapshot is appended to a rolling four-hundred-entry history. Satisfies FUN-004 to FUN-011 and FUN-030.</w:t>
      </w:r>
    </w:p>
    <w:p>
      <w:pPr>
        <w:pStyle w:val="Heading2"/>
        <w:spacing w:after="120" w:before="240"/>
      </w:pPr>
      <w:r>
        <w:t xml:space="preserve">4.6 Crypto momentum</w:t>
      </w:r>
    </w:p>
    <w:p>
      <w:pPr>
        <w:spacing w:after="120"/>
      </w:pPr>
      <w:r>
        <w:t xml:space="preserve">One call returns all 24-hour tickers; USDT pairs are filtered for liquidity above three million dollars of quote volume with leveraged tokens and stablecoin pairs excluded, and the strongest eighty are re-queried through the rolling-window endpoint with a five-hour window in chunks of forty symbols to stay inside the request-weight cap. The result is the exact five-hour move, not an approximation. If the exchange is unreachable the panel falls back to a one-hour CoinGecko ranking and the interface relabels the window so the user is never shown a five-hour claim built on one-hour data. Satisfies FUN-017 to FUN-019.</w:t>
      </w:r>
    </w:p>
    <w:p>
      <w:pPr>
        <w:pStyle w:val="Heading2"/>
        <w:spacing w:after="120" w:before="240"/>
      </w:pPr>
      <w:r>
        <w:t xml:space="preserve">4.7 Market state</w:t>
      </w:r>
    </w:p>
    <w:p>
      <w:pPr>
        <w:spacing w:after="120"/>
      </w:pPr>
      <w:r>
        <w:t xml:space="preserve">Session state is computed locally from exchange trading hours using time-zone-aware formatting, with weekend handling and a countdown to the next open or close; each exchange row states "Open now · closes in …" or "Closed · opens in …" rather than a bare countdown, with a matching OPEN/CLOSED badge. Breadth counts advancers against decliners across the tracked universe, and the pulse score blends the advance-decline ratio, average move, the VIX band, the news skew and the crypto Fear and Greed reading into a bounded mood score. Satisfies FUN-021, FUN-022 and FUN-063.</w:t>
      </w:r>
    </w:p>
    <w:p>
      <w:pPr>
        <w:pStyle w:val="Heading2"/>
        <w:spacing w:after="120" w:before="240"/>
      </w:pPr>
      <w:r>
        <w:t xml:space="preserve">4.8 Weather</w:t>
      </w:r>
    </w:p>
    <w:p>
      <w:pPr>
        <w:spacing w:after="120"/>
      </w:pPr>
      <w:r>
        <w:t xml:space="preserve">Coordinates come from settings when the user has set them, otherwise from an IP lookup with a second provider and a fixed default behind it. Forecast and air-quality calls return current conditions, an eight-hour outlook, daily extremes, UV, sunrise and sunset, and a US AQI band. Manual coordinates keep the location entirely off the network. A second, independent call fetches current temperature and conditions for a fixed set of six financial-hub cities (Mumbai, New York, London, Tokyo, Hong Kong, Frankfurt) so the user sees weather at the exchanges that move markets, not only at home. Satisfies FUN-023, FUN-024, FUN-062 and mitigates RSK-009.</w:t>
      </w:r>
    </w:p>
    <w:p>
      <w:pPr>
        <w:pStyle w:val="Heading2"/>
        <w:spacing w:after="120" w:before="240"/>
      </w:pPr>
      <w:r>
        <w:t xml:space="preserve">4.9 Symbol search</w:t>
      </w:r>
    </w:p>
    <w:p>
      <w:pPr>
        <w:spacing w:after="120"/>
      </w:pPr>
      <w:r>
        <w:t xml:space="preserve">The add-holding dialog queries Yahoo's symbol directory as the user types, so a person can enter "reliance" or "tata" rather than knowing that the ticker is RELIANCE.NS. Results keep equities, ETFs, indices, funds, currencies and crypto, are sorted to put Indian listings first, and are cached for five minutes. Keyboard navigation is supported so the dialog is usable without a mouse. Satisfies FUN-040.</w:t>
      </w:r>
    </w:p>
    <w:p>
      <w:pPr>
        <w:pStyle w:val="Heading2"/>
        <w:spacing w:after="120" w:before="240"/>
      </w:pPr>
      <w:r>
        <w:t xml:space="preserve">4.10 Price at a chosen moment</w:t>
      </w:r>
    </w:p>
    <w:p>
      <w:pPr>
        <w:spacing w:after="120"/>
      </w:pPr>
      <w:r>
        <w:t xml:space="preserve">A purchase is either "right now", which uses the live quote, or an exact past date and time. For a past moment the service requests a window around that timestamp at the finest interval the provider still serves for that age — fifteen minutes inside two months, then hourly, then daily, then weekly — and picks the closest candle. Markets are shut most of the time, so the window widens step by step until a real trade exists, and the dialog says whether it found the exact moment or the nearest trading time. The dialog then shows the amount invested and, for past purchases, the gain or loss against the live price before anything is saved. The auto-filled price is always editable and is relabelled as the user's own figure once touched. A quantity/amount toggle lets the field hold either a share count or a money figure; in amount mode the quantity is derived as amount ÷ price before the preview and the save call. Satisfies FUN-041 to FUN-044 and FUN-054.</w:t>
      </w:r>
    </w:p>
    <w:p>
      <w:pPr>
        <w:pStyle w:val="Heading2"/>
        <w:spacing w:after="120" w:before="240"/>
      </w:pPr>
      <w:r>
        <w:t xml:space="preserve">4.11 Popular and steady</w:t>
      </w:r>
    </w:p>
    <w:p>
      <w:pPr>
        <w:spacing w:after="120"/>
      </w:pPr>
      <w:r>
        <w:t xml:space="preserve">A fixed list of thirty widely-held Indian and US large caps, each tagged with a sector, is fetched as a year of daily candles. Annualised volatility is computed from log returns and banded into very steady, steady, moves a lot and volatile; the list is ordered calmest first and shows the one-year return beside it, and can be narrowed by market or by sector using a dropdown populated from the data actually returned. This is deliberately the opposite selection to the hype radar, and the card states in plain text that it is not advice. Satisfies FUN-048, FUN-049 and FUN-060.</w:t>
      </w:r>
    </w:p>
    <w:p>
      <w:pPr>
        <w:pStyle w:val="Heading2"/>
        <w:spacing w:after="120" w:before="240"/>
      </w:pPr>
      <w:r>
        <w:t xml:space="preserve">4.12 Mutual funds</w:t>
      </w:r>
    </w:p>
    <w:p>
      <w:pPr>
        <w:spacing w:after="120"/>
      </w:pPr>
      <w:r>
        <w:t xml:space="preserve">Fourteen well-known Indian direct-growth schemes are pinned by their permanent AMFI scheme code rather than resolved by name search at run time, because mfapi.in's free-text search is capped and unranked and several of these funds have been renamed by their AMC since launch (for example "SBI Bluechip" is now "SBI Large Cap", "Kotak Emerging Equity" is now "Kotak Midcap"). Each scheme's full NAV history is fetched once, cached for six hours, and used to derive the latest NAV plus one-day, one-month and one-year change from the dated NAV series. Satisfies FUN-055, FUN-056 and SEC-016.</w:t>
      </w:r>
    </w:p>
    <w:p>
      <w:pPr>
        <w:pStyle w:val="Heading2"/>
        <w:spacing w:after="120" w:before="240"/>
      </w:pPr>
      <w:r>
        <w:t xml:space="preserve">4.13 Stock detail chart</w:t>
      </w:r>
    </w:p>
    <w:p>
      <w:pPr>
        <w:spacing w:after="120"/>
      </w:pPr>
      <w:r>
        <w:t xml:space="preserve">A single history function maps six range keys (1D, 5D, 1M, 6M, 1Y, 5Y) to a Yahoo range-and-interval pair and returns the full timestamped close series for that window, not just the sixty-point sparkline slice used elsewhere. The renderer draws this as an inline SVG area chart and refetches on each range-tab click. A shared matcher filters the already-fetched news wire by ticker or by company-name keyword — no extra network call — and the same matcher backs the recent-news strip in the add-holding dialog; the price chart is drawn from past prices only and is labelled as a pattern read, not a forecast. Satisfies FUN-058 and FUN-059.</w:t>
      </w:r>
    </w:p>
    <w:p>
      <w:pPr>
        <w:pStyle w:val="Heading1"/>
        <w:spacing w:after="120" w:before="240"/>
      </w:pPr>
      <w:r>
        <w:t xml:space="preserve">5. Renderer</w:t>
      </w:r>
    </w:p>
    <w:p>
      <w:pPr>
        <w:pStyle w:val="Heading2"/>
        <w:spacing w:after="120" w:before="240"/>
      </w:pPr>
      <w:r>
        <w:t xml:space="preserve">5.1 Structure</w:t>
      </w:r>
    </w:p>
    <w:p>
      <w:pPr>
        <w:spacing w:after="120"/>
      </w:pPr>
      <w:r>
        <w:t xml:space="preserve">One page, a draggable title bar, a scrolling index tape, a card grid and a status bar, plus two modal dialogs for adding a holding and for settings. The content security policy is declared in the document head and permits scripts and styles from the page origin only. Satisfies SEC-002.</w:t>
      </w:r>
    </w:p>
    <w:p>
      <w:pPr>
        <w:pStyle w:val="Heading2"/>
        <w:spacing w:after="120" w:before="240"/>
      </w:pPr>
      <w:r>
        <w:t xml:space="preserve">5.2 Layout</w:t>
      </w:r>
    </w:p>
    <w:p>
      <w:pPr>
        <w:spacing w:after="120"/>
      </w:pPr>
      <w:r>
        <w:t xml:space="preserve">A four-column grid, portfolio first and full width, then the hype radar full width, then news wire and crypto, then popular-and-steady paired with mutual funds, then a full-width weather-and-markets card split internally into a weather-plus-financial-hubs column and a market-clocks column. Because cards clip their own overflow, grid rows cannot size themselves from content, so each card declares the height its internal scroll areas are designed around; breakpoints at 980 px and 620 px reduce the grid to two columns and then one, collapse the weather/markets split to a single column, and raise card heights where content wraps. Modals cap themselves at 88vh (92vh on phones) with internal scrolling so a tall dialog like the add-holding form or the stock chart never runs off a short screen. Compact mode drops to two columns and hides the allocation donut and the hourly weather strip. Satisfies FUN-031, FUN-047 and NFR-006.</w:t>
      </w:r>
    </w:p>
    <w:p>
      <w:pPr>
        <w:pStyle w:val="Heading2"/>
        <w:spacing w:after="120" w:before="240"/>
      </w:pPr>
      <w:r>
        <w:t xml:space="preserve">5.3 Rendering</w:t>
      </w:r>
    </w:p>
    <w:p>
      <w:pPr>
        <w:spacing w:after="120"/>
      </w:pPr>
      <w:r>
        <w:t xml:space="preserve">A single render function receives payload patches and calls only the section renderers whose data changed. Sparklines, the allocation donut and the stock detail chart are built as inline SVG strings with gradient fills; currency formatting is lakh and crore aware for Indian rupees and compact for other currencies; sub-cent crypto prices are shown in full decimals rather than exponent notation. Satisfies FUN-009, FUN-015 and FUN-058.</w:t>
      </w:r>
    </w:p>
    <w:p>
      <w:pPr>
        <w:pStyle w:val="Heading2"/>
        <w:spacing w:after="120" w:before="240"/>
      </w:pPr>
      <w:r>
        <w:t xml:space="preserve">5.4 Accessibility, readability and disclaimers</w:t>
      </w:r>
    </w:p>
    <w:p>
      <w:pPr>
        <w:spacing w:after="120"/>
      </w:pPr>
      <w:r>
        <w:t xml:space="preserve">Direction is never carried by colour alone — every rise or fall is also marked with an arrow glyph and a signed percentage, and news items carry a written confidence figure alongside the coloured bar. Numeric columns use tabular figures so digits align while values tick. Every card that carries a predictive or "likely" read — hype radar, the all-scanned list, news wire, popular and steady, mutual funds — ends with a short, visible not-investment-advice line; hype and news additionally spell out in words what the score or the badge means. Satisfies NFR-007, FUN-061 and NFR-014.</w:t>
      </w:r>
    </w:p>
    <w:p>
      <w:pPr>
        <w:pStyle w:val="Heading1"/>
        <w:spacing w:after="120" w:before="240"/>
      </w:pPr>
      <w:r>
        <w:t xml:space="preserve">6. Security design</w:t>
      </w:r>
    </w:p>
    <w:p>
      <w:pPr>
        <w:pStyle w:val="Heading2"/>
        <w:spacing w:after="120" w:before="240"/>
      </w:pPr>
      <w:r>
        <w:t xml:space="preserve">6.1 Process isolation</w:t>
      </w:r>
    </w:p>
    <w:p>
      <w:pPr>
        <w:spacing w:after="120"/>
      </w:pPr>
      <w:r>
        <w:t xml:space="preserve">The renderer runs with context isolation enabled and node integration disabled, reaching the main process only through the explicit method list exposed by the preload bridge. The content security policy blocks inline and remote scripts. Satisfies SEC-001 and SEC-002.</w:t>
      </w:r>
    </w:p>
    <w:p>
      <w:pPr>
        <w:pStyle w:val="Heading2"/>
        <w:spacing w:after="120" w:before="240"/>
      </w:pPr>
      <w:r>
        <w:t xml:space="preserve">6.2 Untrusted content</w:t>
      </w:r>
    </w:p>
    <w:p>
      <w:pPr>
        <w:spacing w:after="120"/>
      </w:pPr>
      <w:r>
        <w:t xml:space="preserve">Headlines, coin names and instrument names are third-party strings. Every one passes through an HTML-escaping helper before it reaches the DOM, including inside attribute positions such as link data attributes. Satisfies SEC-003 and mitigates RSK-008.</w:t>
      </w:r>
    </w:p>
    <w:p>
      <w:pPr>
        <w:pStyle w:val="Heading2"/>
        <w:spacing w:after="120" w:before="240"/>
      </w:pPr>
      <w:r>
        <w:t xml:space="preserve">6.3 Navigation</w:t>
      </w:r>
    </w:p>
    <w:p>
      <w:pPr>
        <w:spacing w:after="120"/>
      </w:pPr>
      <w:r>
        <w:t xml:space="preserve">The window open handler denies in-app navigation and hands the URL to the operating system browser; the IPC endpoint that opens links validates the scheme first. Satisfies SEC-004 and SEC-005.</w:t>
      </w:r>
    </w:p>
    <w:p>
      <w:pPr>
        <w:pStyle w:val="Heading2"/>
        <w:spacing w:after="120" w:before="240"/>
      </w:pPr>
      <w:r>
        <w:t xml:space="preserve">6.4 Secrets</w:t>
      </w:r>
    </w:p>
    <w:p>
      <w:pPr>
        <w:spacing w:after="120"/>
      </w:pPr>
      <w:r>
        <w:t xml:space="preserve">There are none. Every endpoint used is public and keyless, so there is no credential to leak, rotate or store. Satisfies SEC-006.</w:t>
      </w:r>
    </w:p>
    <w:p>
      <w:pPr>
        <w:pStyle w:val="Heading2"/>
        <w:spacing w:after="120" w:before="240"/>
      </w:pPr>
      <w:r>
        <w:t xml:space="preserve">6.5 Data locality</w:t>
      </w:r>
    </w:p>
    <w:p>
      <w:pPr>
        <w:spacing w:after="120"/>
      </w:pPr>
      <w:r>
        <w:t xml:space="preserve">Portfolio holdings, cash, settings and the value history never leave the machine. Outbound requests carry ticker symbols and, unless the user has set manual coordinates, an IP-derived coordinate pair — no holding quantities, no prices, no identifiers. Satisfies SEC-007 and SEC-008.</w:t>
      </w:r>
    </w:p>
    <w:p>
      <w:pPr>
        <w:pStyle w:val="Heading1"/>
        <w:spacing w:after="120" w:before="240"/>
      </w:pPr>
      <w:r>
        <w:t xml:space="preserve">7. Tooling</w:t>
      </w:r>
    </w:p>
    <w:p>
      <w:pPr>
        <w:pStyle w:val="Heading2"/>
        <w:spacing w:after="120" w:before="240"/>
      </w:pPr>
      <w:r>
        <w:t xml:space="preserve">7.1 Scripts</w:t>
      </w:r>
    </w:p>
    <w:p>
      <w:pPr>
        <w:spacing w:after="120"/>
      </w:pPr>
      <w:r>
        <w:t xml:space="preserve">npm start runs the app; npm run dev additionally pipes renderer console output to the terminal; npm run build packages an NSIS installer and a portable executable.</w:t>
      </w:r>
    </w:p>
    <w:p>
      <w:pPr>
        <w:pStyle w:val="Heading2"/>
        <w:spacing w:after="120" w:before="240"/>
      </w:pPr>
      <w:r>
        <w:t xml:space="preserve">7.2 Renderer preview</w:t>
      </w:r>
    </w:p>
    <w:p>
      <w:pPr>
        <w:spacing w:after="120"/>
      </w:pPr>
      <w:r>
        <w:t xml:space="preserve">A localhost static server serves the renderer directory so layout work can be done in a browser without launching Electron. It refuses any path that escapes the renderer root. Satisfies SEC-010.</w:t>
      </w:r>
    </w:p>
    <w:p>
      <w:pPr>
        <w:pStyle w:val="Heading2"/>
        <w:spacing w:after="120" w:before="240"/>
      </w:pPr>
      <w:r>
        <w:t xml:space="preserve">7.3 Document generation</w:t>
      </w:r>
    </w:p>
    <w:p>
      <w:pPr>
        <w:spacing w:after="120"/>
      </w:pPr>
      <w:r>
        <w:t xml:space="preserve">The controlled document set is generated from a single content module, so a scope change is edited in one place and re-emitted as spreadsheets and documents with consistent cover blocks and live summary formulas.</w:t>
      </w:r>
    </w:p>
    <w:p>
      <w:pPr>
        <w:pStyle w:val="Heading1"/>
        <w:spacing w:after="120" w:before="240"/>
      </w:pPr>
      <w:r>
        <w:t xml:space="preserve">8. Data model</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2200"/>
        <w:gridCol w:w="5600"/>
        <w:gridCol w:w="2200"/>
      </w:tblGrid>
      <w:tr>
        <w:trPr>
          <w:tblHeader/>
        </w:trPr>
        <w:tc>
          <w:tcPr>
            <w:shd w:fill="3B2E7E"/>
            <w:tcMar>
              <w:top w:type="dxa" w:w="60"/>
              <w:left w:type="dxa" w:w="90"/>
              <w:bottom w:type="dxa" w:w="60"/>
              <w:right w:type="dxa" w:w="90"/>
            </w:tcMar>
          </w:tcPr>
          <w:p>
            <w:r>
              <w:rPr>
                <w:b/>
                <w:bCs/>
                <w:color w:val="FFFFFF"/>
                <w:sz w:val="18"/>
                <w:szCs w:val="18"/>
              </w:rPr>
              <w:t xml:space="preserve">File</w:t>
            </w:r>
          </w:p>
        </w:tc>
        <w:tc>
          <w:tcPr>
            <w:shd w:fill="3B2E7E"/>
            <w:tcMar>
              <w:top w:type="dxa" w:w="60"/>
              <w:left w:type="dxa" w:w="90"/>
              <w:bottom w:type="dxa" w:w="60"/>
              <w:right w:type="dxa" w:w="90"/>
            </w:tcMar>
          </w:tcPr>
          <w:p>
            <w:r>
              <w:rPr>
                <w:b/>
                <w:bCs/>
                <w:color w:val="FFFFFF"/>
                <w:sz w:val="18"/>
                <w:szCs w:val="18"/>
              </w:rPr>
              <w:t xml:space="preserve">Shape</w:t>
            </w:r>
          </w:p>
        </w:tc>
        <w:tc>
          <w:tcPr>
            <w:shd w:fill="3B2E7E"/>
            <w:tcMar>
              <w:top w:type="dxa" w:w="60"/>
              <w:left w:type="dxa" w:w="90"/>
              <w:bottom w:type="dxa" w:w="60"/>
              <w:right w:type="dxa" w:w="90"/>
            </w:tcMar>
          </w:tcPr>
          <w:p>
            <w:r>
              <w:rPr>
                <w:b/>
                <w:bCs/>
                <w:color w:val="FFFFFF"/>
                <w:sz w:val="18"/>
                <w:szCs w:val="18"/>
              </w:rPr>
              <w:t xml:space="preserve">Written by</w:t>
            </w:r>
          </w:p>
        </w:tc>
      </w:tr>
      <w:tr>
        <w:tc>
          <w:tcPr>
            <w:tcMar>
              <w:top w:type="dxa" w:w="60"/>
              <w:left w:type="dxa" w:w="90"/>
              <w:bottom w:type="dxa" w:w="60"/>
              <w:right w:type="dxa" w:w="90"/>
            </w:tcMar>
          </w:tcPr>
          <w:p>
            <w:r>
              <w:rPr>
                <w:b w:val="false"/>
                <w:bCs w:val="false"/>
                <w:color w:val="1B2138"/>
                <w:sz w:val="18"/>
                <w:szCs w:val="18"/>
              </w:rPr>
              <w:t xml:space="preserve">portfolio.json</w:t>
            </w:r>
          </w:p>
        </w:tc>
        <w:tc>
          <w:tcPr>
            <w:tcMar>
              <w:top w:type="dxa" w:w="60"/>
              <w:left w:type="dxa" w:w="90"/>
              <w:bottom w:type="dxa" w:w="60"/>
              <w:right w:type="dxa" w:w="90"/>
            </w:tcMar>
          </w:tcPr>
          <w:p>
            <w:r>
              <w:rPr>
                <w:b w:val="false"/>
                <w:bCs w:val="false"/>
                <w:color w:val="1B2138"/>
                <w:sz w:val="18"/>
                <w:szCs w:val="18"/>
              </w:rPr>
              <w:t xml:space="preserve">baseCurrency, cash, holdings[symbol, qty, avgPrice, buyDate], trades[symbol, qty, buyPrice, sellPrice, date]</w:t>
            </w:r>
          </w:p>
        </w:tc>
        <w:tc>
          <w:tcPr>
            <w:tcMar>
              <w:top w:type="dxa" w:w="60"/>
              <w:left w:type="dxa" w:w="90"/>
              <w:bottom w:type="dxa" w:w="60"/>
              <w:right w:type="dxa" w:w="90"/>
            </w:tcMar>
          </w:tcPr>
          <w:p>
            <w:r>
              <w:rPr>
                <w:b w:val="false"/>
                <w:bCs w:val="false"/>
                <w:color w:val="1B2138"/>
                <w:sz w:val="18"/>
                <w:szCs w:val="18"/>
              </w:rPr>
              <w:t xml:space="preserve">Portfolio service</w:t>
            </w:r>
          </w:p>
        </w:tc>
      </w:tr>
      <w:tr>
        <w:tc>
          <w:tcPr>
            <w:shd w:fill="F2F4FB"/>
            <w:tcMar>
              <w:top w:type="dxa" w:w="60"/>
              <w:left w:type="dxa" w:w="90"/>
              <w:bottom w:type="dxa" w:w="60"/>
              <w:right w:type="dxa" w:w="90"/>
            </w:tcMar>
          </w:tcPr>
          <w:p>
            <w:r>
              <w:rPr>
                <w:b w:val="false"/>
                <w:bCs w:val="false"/>
                <w:color w:val="1B2138"/>
                <w:sz w:val="18"/>
                <w:szCs w:val="18"/>
              </w:rPr>
              <w:t xml:space="preserve">history.json</w:t>
            </w:r>
          </w:p>
        </w:tc>
        <w:tc>
          <w:tcPr>
            <w:shd w:fill="F2F4FB"/>
            <w:tcMar>
              <w:top w:type="dxa" w:w="60"/>
              <w:left w:type="dxa" w:w="90"/>
              <w:bottom w:type="dxa" w:w="60"/>
              <w:right w:type="dxa" w:w="90"/>
            </w:tcMar>
          </w:tcPr>
          <w:p>
            <w:r>
              <w:rPr>
                <w:b w:val="false"/>
                <w:bCs w:val="false"/>
                <w:color w:val="1B2138"/>
                <w:sz w:val="18"/>
                <w:szCs w:val="18"/>
              </w:rPr>
              <w:t xml:space="preserve">Rolling 400 entries of date, timestamp, value, unrealised P&amp;L</w:t>
            </w:r>
          </w:p>
        </w:tc>
        <w:tc>
          <w:tcPr>
            <w:shd w:fill="F2F4FB"/>
            <w:tcMar>
              <w:top w:type="dxa" w:w="60"/>
              <w:left w:type="dxa" w:w="90"/>
              <w:bottom w:type="dxa" w:w="60"/>
              <w:right w:type="dxa" w:w="90"/>
            </w:tcMar>
          </w:tcPr>
          <w:p>
            <w:r>
              <w:rPr>
                <w:b w:val="false"/>
                <w:bCs w:val="false"/>
                <w:color w:val="1B2138"/>
                <w:sz w:val="18"/>
                <w:szCs w:val="18"/>
              </w:rPr>
              <w:t xml:space="preserve">Portfolio service</w:t>
            </w:r>
          </w:p>
        </w:tc>
      </w:tr>
      <w:tr>
        <w:tc>
          <w:tcPr>
            <w:tcMar>
              <w:top w:type="dxa" w:w="60"/>
              <w:left w:type="dxa" w:w="90"/>
              <w:bottom w:type="dxa" w:w="60"/>
              <w:right w:type="dxa" w:w="90"/>
            </w:tcMar>
          </w:tcPr>
          <w:p>
            <w:r>
              <w:rPr>
                <w:b w:val="false"/>
                <w:bCs w:val="false"/>
                <w:color w:val="1B2138"/>
                <w:sz w:val="18"/>
                <w:szCs w:val="18"/>
              </w:rPr>
              <w:t xml:space="preserve">settings.json</w:t>
            </w:r>
          </w:p>
        </w:tc>
        <w:tc>
          <w:tcPr>
            <w:tcMar>
              <w:top w:type="dxa" w:w="60"/>
              <w:left w:type="dxa" w:w="90"/>
              <w:bottom w:type="dxa" w:w="60"/>
              <w:right w:type="dxa" w:w="90"/>
            </w:tcMar>
          </w:tcPr>
          <w:p>
            <w:r>
              <w:rPr>
                <w:b w:val="false"/>
                <w:bCs w:val="false"/>
                <w:color w:val="1B2138"/>
                <w:sz w:val="18"/>
                <w:szCs w:val="18"/>
              </w:rPr>
              <w:t xml:space="preserve">bounds, alwaysOnTop, opacity, clickThrough, compact, showOnAllDesktops, hyperMarket, weather coordinates, refresh intervals</w:t>
            </w:r>
          </w:p>
        </w:tc>
        <w:tc>
          <w:tcPr>
            <w:tcMar>
              <w:top w:type="dxa" w:w="60"/>
              <w:left w:type="dxa" w:w="90"/>
              <w:bottom w:type="dxa" w:w="60"/>
              <w:right w:type="dxa" w:w="90"/>
            </w:tcMar>
          </w:tcPr>
          <w:p>
            <w:r>
              <w:rPr>
                <w:b w:val="false"/>
                <w:bCs w:val="false"/>
                <w:color w:val="1B2138"/>
                <w:sz w:val="18"/>
                <w:szCs w:val="18"/>
              </w:rPr>
              <w:t xml:space="preserve">Main process</w:t>
            </w:r>
          </w:p>
        </w:tc>
      </w:tr>
    </w:tbl>
    <w:p>
      <w:pPr>
        <w:pStyle w:val="Heading1"/>
        <w:spacing w:after="120" w:before="240"/>
      </w:pPr>
      <w:r>
        <w:t xml:space="preserve">10. Web and mobile distribution</w:t>
      </w:r>
    </w:p>
    <w:p>
      <w:pPr>
        <w:pStyle w:val="Heading2"/>
        <w:spacing w:after="120" w:before="240"/>
      </w:pPr>
      <w:r>
        <w:t xml:space="preserve">10.1 Edge worker</w:t>
      </w:r>
    </w:p>
    <w:p>
      <w:pPr>
        <w:spacing w:after="120"/>
      </w:pPr>
      <w:r>
        <w:t xml:space="preserve">A browser cannot call Yahoo Finance, Binance or the publisher feeds directly, because none of them return cross-origin headers. A Cloudflare Worker therefore runs the same service modules the desktop main process runs and answers with CORS enabled. Every route is cached at the edge for the interval that matches how fast the data moves — sixty seconds for indices, crypto and quotes, five minutes for news and the hype ranking, thirty minutes for weather — so ten thousand users cost roughly the same upstream traffic as one. Weather coordinates are rounded to one decimal place before use, which both coarsens the location and raises the cache hit rate. Satisfies FUN-034, NFR-011 and SEC-013.</w:t>
      </w:r>
    </w:p>
    <w:p>
      <w:pPr>
        <w:pStyle w:val="Heading2"/>
        <w:spacing w:after="120" w:before="240"/>
      </w:pPr>
      <w:r>
        <w:t xml:space="preserve">10.2 Web build</w:t>
      </w:r>
    </w:p>
    <w:p>
      <w:pPr>
        <w:spacing w:after="120"/>
      </w:pPr>
      <w:r>
        <w:t xml:space="preserve">The web application is not a second implementation. A build script takes the same index.html, styles.css and app.js the desktop uses, rewrites the content security policy to permit connections to the worker, injects a browser bridge and a set of phone-specific style overrides, and emits the bundle. The bridge exposes exactly the window.pulse surface the renderer expects, so app.js is unaware of which host it is running in; underneath, market data comes from fetch instead of IPC and the portfolio lives in local storage instead of a JSON file. Holdings never leave the device. Satisfies FUN-032, FUN-035, SEC-015 and NFR-012.</w:t>
      </w:r>
    </w:p>
    <w:p>
      <w:pPr>
        <w:pStyle w:val="Heading2"/>
        <w:spacing w:after="120" w:before="240"/>
      </w:pPr>
      <w:r>
        <w:t xml:space="preserve">10.3 Installability</w:t>
      </w:r>
    </w:p>
    <w:p>
      <w:pPr>
        <w:spacing w:after="120"/>
      </w:pPr>
      <w:r>
        <w:t xml:space="preserve">A web manifest and a service worker make the app installable from the browser on Android, iOS and desktop, with its own icon and no browser chrome. The service worker precaches the shell so the app opens without a connection, and deliberately never caches market responses, because a stale price is worse than a visible failure. Android and desktop receive the native install prompt; iOS gets an Add to Home Screen hint on first visit. Satisfies FUN-032 and FUN-033.</w:t>
      </w:r>
    </w:p>
    <w:p>
      <w:pPr>
        <w:pStyle w:val="Heading2"/>
        <w:spacing w:after="120" w:before="240"/>
      </w:pPr>
      <w:r>
        <w:t xml:space="preserve">10.4 Continuous delivery</w:t>
      </w:r>
    </w:p>
    <w:p>
      <w:pPr>
        <w:spacing w:after="120"/>
      </w:pPr>
      <w:r>
        <w:t xml:space="preserve">One workflow builds the web bundle and publishes it to GitHub Pages on every push that touches the renderer or the web sources. A second workflow runs on a version tag, packages the Windows installer and portable executable on a Windows runner, and attaches them to the GitHub release. Icons for packaging are generated at build time from the same PNG encoder used for the tray, so no binary asset is committed. Satisfies FUN-038.</w:t>
      </w:r>
    </w:p>
    <w:p>
      <w:pPr>
        <w:pStyle w:val="Heading2"/>
        <w:spacing w:after="120" w:before="240"/>
      </w:pPr>
      <w:r>
        <w:t xml:space="preserve">10.5 Cost model</w:t>
      </w:r>
    </w:p>
    <w:p>
      <w:pPr>
        <w:spacing w:after="120"/>
      </w:pPr>
      <w:r>
        <w:t xml:space="preserve">GitHub Pages, GitHub Releases, GitHub Actions on a public repository, Cloudflare Workers and Cloudflare D1 all operate inside permanently free tiers at the scale this application generates. There is no paid dependency anywhere in the delivery chain; the deliberate exclusions — app store listings and code signing — are recorded with their costs in PD-DEP-001. Satisfies NFR-013.</w:t>
      </w:r>
    </w:p>
    <w:p>
      <w:pPr>
        <w:pStyle w:val="Heading2"/>
        <w:spacing w:after="120" w:before="240"/>
      </w:pPr>
      <w:r>
        <w:t xml:space="preserve">10.6 Operating without a command line</w:t>
      </w:r>
    </w:p>
    <w:p>
      <w:pPr>
        <w:spacing w:after="120"/>
      </w:pPr>
      <w:r>
        <w:t xml:space="preserve">The worker is also emitted as a single bundled file, which can be pasted directly into the Cloudflare dashboard editor; combined with GitHub Desktop, the GitHub Pages settings page and the Releases page, the entire publish path becomes website buttons. Two double-click batch launchers cover running the app and regenerating the pasteable worker file, each checking for Node and explaining in plain language what to do if it is missing. HOW-TO-PUBLISH.md and INSTALL.md carry the click-by-click instructions for the operator and for end users respectively. Satisfies FUN-052 and FUN-053.</w:t>
      </w:r>
    </w:p>
    <w:p>
      <w:pPr>
        <w:pStyle w:val="Heading1"/>
        <w:spacing w:after="120" w:before="240"/>
      </w:pPr>
      <w:r>
        <w:t xml:space="preserve">11. Usage measurement</w:t>
      </w:r>
    </w:p>
    <w:p>
      <w:pPr>
        <w:pStyle w:val="Heading2"/>
        <w:spacing w:after="120" w:before="240"/>
      </w:pPr>
      <w:r>
        <w:t xml:space="preserve">11.1 Counting without accounts</w:t>
      </w:r>
    </w:p>
    <w:p>
      <w:pPr>
        <w:spacing w:after="120"/>
      </w:pPr>
      <w:r>
        <w:t xml:space="preserve">Each browser generates a random identifier for itself on first run and keeps it in local storage. The app posts one open event when it starts and a heartbeat every few minutes while it is visible; the worker records the identifier, the date, a timestamp, the event kind, the platform and the two-letter country supplied by the edge. No IP address, cookie, email or account is stored, and identifiers are sanitised and length-capped before they reach the database. Rows older than ninety days are deleted opportunistically on write. Satisfies FUN-036, SEC-012 and SEC-014.</w:t>
      </w:r>
    </w:p>
    <w:p>
      <w:pPr>
        <w:pStyle w:val="Heading2"/>
        <w:spacing w:after="120" w:before="240"/>
      </w:pPr>
      <w:r>
        <w:t xml:space="preserve">11.2 Private dashboard</w:t>
      </w:r>
    </w:p>
    <w:p>
      <w:pPr>
        <w:spacing w:after="120"/>
      </w:pPr>
      <w:r>
        <w:t xml:space="preserve">A static page reads an aggregate endpoint and shows devices active in the last five minutes, opens today, distinct devices today, this week and all time, a thirty-day trend, and a country and platform split. The endpoint is refused without a shared key held as a worker secret, so the dashboard is private without introducing an account for the owner either. The page states plainly that counts are devices rather than people, which is the honest reading of a login-free measure. Satisfies FUN-037 and SEC-011.</w:t>
      </w:r>
    </w:p>
    <w:p>
      <w:pPr>
        <w:pStyle w:val="Heading1"/>
        <w:spacing w:after="120" w:before="240"/>
      </w:pPr>
      <w:r>
        <w:t xml:space="preserve">12. Extension points</w:t>
      </w:r>
    </w:p>
    <w:p>
      <w:pPr>
        <w:pStyle w:val="ListParagraph"/>
        <w:numPr>
          <w:ilvl w:val="0"/>
          <w:numId w:val="1"/>
        </w:numPr>
        <w:spacing w:after="60"/>
      </w:pPr>
      <w:r>
        <w:t xml:space="preserve">Additional quote providers slot in behind the chart function as further fallbacks.</w:t>
      </w:r>
    </w:p>
    <w:p>
      <w:pPr>
        <w:pStyle w:val="ListParagraph"/>
        <w:numPr>
          <w:ilvl w:val="0"/>
          <w:numId w:val="1"/>
        </w:numPr>
        <w:spacing w:after="60"/>
      </w:pPr>
      <w:r>
        <w:t xml:space="preserve">The ticker alias map is data, so covering more scrips is an edit rather than a code change.</w:t>
      </w:r>
    </w:p>
    <w:p>
      <w:pPr>
        <w:pStyle w:val="ListParagraph"/>
        <w:numPr>
          <w:ilvl w:val="0"/>
          <w:numId w:val="1"/>
        </w:numPr>
        <w:spacing w:after="60"/>
      </w:pPr>
      <w:r>
        <w:t xml:space="preserve">The sentiment lexicon is a plain weight table and can be retuned or replaced with a model without touching the wire.</w:t>
      </w:r>
    </w:p>
    <w:p>
      <w:pPr>
        <w:pStyle w:val="ListParagraph"/>
        <w:numPr>
          <w:ilvl w:val="0"/>
          <w:numId w:val="1"/>
        </w:numPr>
        <w:spacing w:after="60"/>
      </w:pPr>
      <w:r>
        <w:t xml:space="preserve">A broker CSV importer only needs to produce the holdings array shape already accepted by the portfolio import channel.</w:t>
      </w:r>
    </w:p>
    <w:p>
      <w:pPr>
        <w:spacing w:before="400"/>
        <w:jc w:val="center"/>
      </w:pPr>
      <w:r>
        <w:rPr>
          <w:i/>
          <w:iCs/>
          <w:color w:val="6B7391"/>
          <w:sz w:val="16"/>
          <w:szCs w:val="16"/>
        </w:rPr>
        <w:t xml:space="preserve">PulseDesk · TandSol · v1.0 · 2026-08-01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1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3B2E7E"/>
      <w:sz w:val="30"/>
      <w:szCs w:val="30"/>
    </w:rPr>
  </w:style>
  <w:style w:type="paragraph" w:styleId="Heading2">
    <w:name w:val="Heading 2"/>
    <w:basedOn w:val="Normal"/>
    <w:next w:val="Normal"/>
    <w:qFormat/>
    <w:rPr>
      <w:rFonts w:ascii="Segoe UI" w:cs="Segoe UI" w:eastAsia="Segoe UI" w:hAnsi="Segoe UI"/>
      <w:b/>
      <w:bCs/>
      <w:color w:val="1B213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2026-08-01T07:50:12.815Z</dcterms:created>
  <dcterms:modified xsi:type="dcterms:W3CDTF">2026-08-01T07:50:12.815Z</dcterms:modified>
</cp:coreProperties>
</file>

<file path=docProps/custom.xml><?xml version="1.0" encoding="utf-8"?>
<Properties xmlns="http://schemas.openxmlformats.org/officeDocument/2006/custom-properties" xmlns:vt="http://schemas.openxmlformats.org/officeDocument/2006/docPropsVTypes"/>
</file>