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3B2E7E"/>
          <w:sz w:val="40"/>
          <w:szCs w:val="40"/>
        </w:rPr>
        <w:t xml:space="preserve">PulseDesk — Project Charter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200"/>
        <w:gridCol w:w="74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Document ID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PD-CHR-001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Version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1.0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2026-08-01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Prepared by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TandSol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Status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Baselined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Related documents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PD-HB-001, PD-PMP-001, PD-RTM-001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Classification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Internal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Revision note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v1.0 — initial baseline issued with the first working build.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t xml:space="preserve">1. Purpose</w:t>
      </w:r>
    </w:p>
    <w:p>
      <w:pPr>
        <w:spacing w:after="120"/>
      </w:pPr>
      <w:r>
        <w:t xml:space="preserve">PulseDesk exists to put one screen of live market context permanently in front of a retail investor. Today that context is scattered across a broker app, two news sites, a crypto exchange and a weather widget, and the cost of switching between them is the reason people miss moves. The project collapses that surface into a single always-on-top desktop widget built entirely on free, keyless public APIs.</w:t>
      </w:r>
    </w:p>
    <w:p>
      <w:pPr>
        <w:pStyle w:val="Heading1"/>
        <w:spacing w:after="120" w:before="240"/>
      </w:pPr>
      <w:r>
        <w:t xml:space="preserve">2. Objectives and constraints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 a Windows desktop application, not a browser tab, so the dashboard can float above whatever the user is working 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Operate at zero running cost — no paid data feeds, no API keys, no subscriptions.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Keep all user financial data on the user machine; the app has no backend and no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 Indian and US markets together, since the target user holds both.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Stay legible and vibrant at a glance — this is a peripheral-vision instrument, not a research terminal.</w:t>
      </w:r>
    </w:p>
    <w:p>
      <w:pPr>
        <w:pStyle w:val="Heading1"/>
        <w:spacing w:after="120" w:before="240"/>
      </w:pPr>
      <w:r>
        <w:t xml:space="preserve">3. Scope</w:t>
      </w:r>
    </w:p>
    <w:p>
      <w:pPr>
        <w:pStyle w:val="Heading2"/>
        <w:spacing w:after="120" w:before="240"/>
      </w:pPr>
      <w:r>
        <w:t xml:space="preserve">3.1 Hype radar</w:t>
      </w:r>
    </w:p>
    <w:p>
      <w:pPr>
        <w:spacing w:after="120"/>
      </w:pPr>
      <w:r>
        <w:t xml:space="preserve">The five stocks drawing the most attention right now, ranked by a composite of unusual volume, the size of the day move, and how often the ticker appears in current headlines. Satisfies FUN-001 to FUN-003.</w:t>
      </w:r>
    </w:p>
    <w:p>
      <w:pPr>
        <w:pStyle w:val="Heading2"/>
        <w:spacing w:after="120" w:before="240"/>
      </w:pPr>
      <w:r>
        <w:t xml:space="preserve">3.2 Portfolio</w:t>
      </w:r>
    </w:p>
    <w:p>
      <w:pPr>
        <w:spacing w:after="120"/>
      </w:pPr>
      <w:r>
        <w:t xml:space="preserve">Holdings entry, live valuation, invested capital, unrealised and realised profit and loss, day profit and loss, allocation weights, idle cash and a net-worth trend, all expressed in a base currency of the user choosing. Satisfies FUN-004 to FUN-011 and FUN-030.</w:t>
      </w:r>
    </w:p>
    <w:p>
      <w:pPr>
        <w:pStyle w:val="Heading2"/>
        <w:spacing w:after="120" w:before="240"/>
      </w:pPr>
      <w:r>
        <w:t xml:space="preserve">3.3 News wire</w:t>
      </w:r>
    </w:p>
    <w:p>
      <w:pPr>
        <w:spacing w:after="120"/>
      </w:pPr>
      <w:r>
        <w:t xml:space="preserve">Fifteen ranked market headlines drawn from eight publishers, each carrying a rise, fall or flat direction call with a confidence figure, the tickers it names, and a link that opens in the system browser. Satisfies FUN-012 to FUN-016.</w:t>
      </w:r>
    </w:p>
    <w:p>
      <w:pPr>
        <w:pStyle w:val="Heading2"/>
        <w:spacing w:after="120" w:before="240"/>
      </w:pPr>
      <w:r>
        <w:t xml:space="preserve">3.4 Crypto momentum</w:t>
      </w:r>
    </w:p>
    <w:p>
      <w:pPr>
        <w:spacing w:after="120"/>
      </w:pPr>
      <w:r>
        <w:t xml:space="preserve">The ten strongest liquid USDT pairs over an exact trailing five-hour window, with 24-hour context, plus the Fear and Greed index, total market capitalisation and Bitcoin dominance. Satisfies FUN-017 to FUN-019.</w:t>
      </w:r>
    </w:p>
    <w:p>
      <w:pPr>
        <w:pStyle w:val="Heading2"/>
        <w:spacing w:after="120" w:before="240"/>
      </w:pPr>
      <w:r>
        <w:t xml:space="preserve">3.5 Market state</w:t>
      </w:r>
    </w:p>
    <w:p>
      <w:pPr>
        <w:spacing w:after="120"/>
      </w:pPr>
      <w:r>
        <w:t xml:space="preserve">A scrolling tape of Indian and US indices, commodities, USD/INR and Bitcoin; exchange session clocks with countdowns; and a breadth-derived market pulse score. Satisfies FUN-020 to FUN-022.</w:t>
      </w:r>
    </w:p>
    <w:p>
      <w:pPr>
        <w:pStyle w:val="Heading2"/>
        <w:spacing w:after="120" w:before="240"/>
      </w:pPr>
      <w:r>
        <w:t xml:space="preserve">3.6 Weather</w:t>
      </w:r>
    </w:p>
    <w:p>
      <w:pPr>
        <w:spacing w:after="120"/>
      </w:pPr>
      <w:r>
        <w:t xml:space="preserve">Current conditions, feels-like temperature, humidity, wind, rain probability, UV, air quality and an eight-hour outlook for the user location, resolvable by IP or by manual coordinates. Satisfies FUN-023 and FUN-024.</w:t>
      </w:r>
    </w:p>
    <w:p>
      <w:pPr>
        <w:pStyle w:val="Heading2"/>
        <w:spacing w:after="120" w:before="240"/>
      </w:pPr>
      <w:r>
        <w:t xml:space="preserve">3.7 Desktop behaviour</w:t>
      </w:r>
    </w:p>
    <w:p>
      <w:pPr>
        <w:spacing w:after="120"/>
      </w:pPr>
      <w:r>
        <w:t xml:space="preserve">Frameless always-on-top window, optional visibility on every virtual desktop, tray control, global shortcuts, adjustable opacity, click-through widget mode, compact layout, tiered auto-refresh and persistence of window state. Satisfies FUN-025 to FUN-029 and FUN-031.</w:t>
      </w:r>
    </w:p>
    <w:p>
      <w:pPr>
        <w:pStyle w:val="Heading1"/>
        <w:spacing w:after="120" w:before="240"/>
      </w:pPr>
      <w:r>
        <w:t xml:space="preserve">4. Non-functional targets</w:t>
      </w:r>
    </w:p>
    <w:p>
      <w:pPr>
        <w:spacing w:after="120"/>
      </w:pPr>
      <w:r>
        <w:t xml:space="preserve">Cold start under three seconds; market data never older than sixty seconds while visible; a failing feed degrades that panel only and never blanks the dashboard; outbound calls pooled at eight concurrent requests to stay inside free rate limits; legible from 1240 px down to 620 px with no horizontal scrolling. Detailed in NFR-001 to NFR-010.</w:t>
      </w:r>
    </w:p>
    <w:p>
      <w:pPr>
        <w:pStyle w:val="Heading1"/>
        <w:spacing w:after="120" w:before="240"/>
      </w:pPr>
      <w:r>
        <w:t xml:space="preserve">5. Out of scope for this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placement or any broker connectivity — the app never touches a trading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Personalised investment advice or recommendations.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Automated broker statement import (roadmap item).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Cloud sync, multi-device state or user accounts.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and Linux packaging.</w:t>
      </w:r>
    </w:p>
    <w:p>
      <w:pPr>
        <w:pStyle w:val="Heading1"/>
        <w:spacing w:after="120" w:before="240"/>
      </w:pPr>
      <w:r>
        <w:t xml:space="preserve">6. Stakeholders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400"/>
        <w:gridCol w:w="4600"/>
        <w:gridCol w:w="26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Interest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Authority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Owner (TandSol)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Scope, quality, release, risk acceptance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Approves baselines and changes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Primary user (investor)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Accuracy of P&amp;L, speed of the tape, clarity of the news call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Accepts or rejects the build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Data publishers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Fair, low-volume use of their public endpoints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Can withdraw access at any time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Maintainer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Codebase health, dependency currency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Implements approved changes</w:t>
            </w:r>
          </w:p>
        </w:tc>
      </w:tr>
    </w:tbl>
    <w:p>
      <w:pPr>
        <w:pStyle w:val="Heading1"/>
        <w:spacing w:after="120" w:before="240"/>
      </w:pPr>
      <w:r>
        <w:t xml:space="preserve">7. Success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seven requested panels render live data on a clean Windows install.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figures reconcile against the broker statement for a sample of holdings.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window stays above other applications and survives a restart with its position intact.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paid dependency and no API key anywhere in the build.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requirement in PD-RTM-001 reaches Verified or has a dated action.</w:t>
      </w:r>
    </w:p>
    <w:p>
      <w:pPr>
        <w:pStyle w:val="Heading1"/>
        <w:spacing w:after="120" w:before="240"/>
      </w:pPr>
      <w:r>
        <w:t xml:space="preserve">8.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machine has a working internet connection during market hours.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 endpoints remain free to use at the volumes this app generates.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user enters holdings accurately, including corporate-action adjustments.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direction call is understood as headline tone, not a price forecast.</w:t>
      </w:r>
    </w:p>
    <w:p>
      <w:pPr>
        <w:pStyle w:val="Heading1"/>
        <w:spacing w:after="120" w:before="240"/>
      </w:pPr>
      <w:r>
        <w:t xml:space="preserve">9. Approval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400"/>
        <w:gridCol w:w="3200"/>
        <w:gridCol w:w="2000"/>
        <w:gridCol w:w="20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Owner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TandSol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2026-08-01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Baselined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Primary user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Pending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—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Pending acceptance</w:t>
            </w:r>
          </w:p>
        </w:tc>
      </w:tr>
    </w:tbl>
    <w:p>
      <w:pPr>
        <w:spacing w:before="400"/>
        <w:jc w:val="center"/>
      </w:pPr>
      <w:r>
        <w:rPr>
          <w:i/>
          <w:iCs/>
          <w:color w:val="6B7391"/>
          <w:sz w:val="16"/>
          <w:szCs w:val="16"/>
        </w:rPr>
        <w:t xml:space="preserve">PulseDesk · TandSol · v1.0 · 2026-08-01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213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egoe UI" w:cs="Segoe UI" w:eastAsia="Segoe UI" w:hAnsi="Segoe UI"/>
      <w:b/>
      <w:bCs/>
      <w:color w:val="3B2E7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Segoe UI" w:cs="Segoe UI" w:eastAsia="Segoe UI" w:hAnsi="Segoe UI"/>
      <w:b/>
      <w:bCs/>
      <w:color w:val="1B2138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2026-08-01T02:57:35.779Z</dcterms:created>
  <dcterms:modified xsi:type="dcterms:W3CDTF">2026-08-01T02:57:35.779Z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