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3B2E7E"/>
          <w:sz w:val="40"/>
          <w:szCs w:val="40"/>
        </w:rPr>
        <w:t xml:space="preserve">PulseDesk — Project Management Plan</w:t>
      </w:r>
    </w:p>
    <w:tbl>
      <w:tblPr>
        <w:tblW w:type="pct" w:w="100%"/>
        <w:tblBorders>
          <w:top w:val="single" w:color="D8DEF0" w:sz="2"/>
          <w:left w:val="single" w:color="D8DEF0" w:sz="2"/>
          <w:bottom w:val="single" w:color="D8DEF0" w:sz="2"/>
          <w:right w:val="single" w:color="D8DEF0" w:sz="2"/>
          <w:insideH w:val="single" w:color="D8DEF0" w:sz="2"/>
          <w:insideV w:val="single" w:color="D8DEF0" w:sz="2"/>
        </w:tblBorders>
      </w:tblPr>
      <w:tblGrid>
        <w:gridCol w:w="2200"/>
        <w:gridCol w:w="7400"/>
      </w:tblGrid>
      <w:tr>
        <w:trPr>
          <w:tblHeader/>
        </w:trPr>
        <w:tc>
          <w:tcPr>
            <w:shd w:fill="3B2E7E"/>
            <w:tcMar>
              <w:top w:type="dxa" w:w="60"/>
              <w:left w:type="dxa" w:w="90"/>
              <w:bottom w:type="dxa" w:w="60"/>
              <w:right w:type="dxa" w:w="90"/>
            </w:tcMar>
          </w:tcPr>
          <w:p>
            <w:r>
              <w:rPr>
                <w:b/>
                <w:bCs/>
                <w:color w:val="FFFFFF"/>
                <w:sz w:val="18"/>
                <w:szCs w:val="18"/>
              </w:rPr>
              <w:t xml:space="preserve">Field</w:t>
            </w:r>
          </w:p>
        </w:tc>
        <w:tc>
          <w:tcPr>
            <w:shd w:fill="3B2E7E"/>
            <w:tcMar>
              <w:top w:type="dxa" w:w="60"/>
              <w:left w:type="dxa" w:w="90"/>
              <w:bottom w:type="dxa" w:w="60"/>
              <w:right w:type="dxa" w:w="90"/>
            </w:tcMar>
          </w:tcPr>
          <w:p>
            <w:r>
              <w:rPr>
                <w:b/>
                <w:bCs/>
                <w:color w:val="FFFFFF"/>
                <w:sz w:val="18"/>
                <w:szCs w:val="18"/>
              </w:rPr>
              <w:t xml:space="preserve">Value</w:t>
            </w:r>
          </w:p>
        </w:tc>
      </w:tr>
      <w:tr>
        <w:tc>
          <w:tcPr>
            <w:tcMar>
              <w:top w:type="dxa" w:w="60"/>
              <w:left w:type="dxa" w:w="90"/>
              <w:bottom w:type="dxa" w:w="60"/>
              <w:right w:type="dxa" w:w="90"/>
            </w:tcMar>
          </w:tcPr>
          <w:p>
            <w:r>
              <w:rPr>
                <w:b w:val="false"/>
                <w:bCs w:val="false"/>
                <w:color w:val="1B2138"/>
                <w:sz w:val="18"/>
                <w:szCs w:val="18"/>
              </w:rPr>
              <w:t xml:space="preserve">Document ID</w:t>
            </w:r>
          </w:p>
        </w:tc>
        <w:tc>
          <w:tcPr>
            <w:tcMar>
              <w:top w:type="dxa" w:w="60"/>
              <w:left w:type="dxa" w:w="90"/>
              <w:bottom w:type="dxa" w:w="60"/>
              <w:right w:type="dxa" w:w="90"/>
            </w:tcMar>
          </w:tcPr>
          <w:p>
            <w:r>
              <w:rPr>
                <w:b w:val="false"/>
                <w:bCs w:val="false"/>
                <w:color w:val="1B2138"/>
                <w:sz w:val="18"/>
                <w:szCs w:val="18"/>
              </w:rPr>
              <w:t xml:space="preserve">PD-PMP-001</w:t>
            </w:r>
          </w:p>
        </w:tc>
      </w:tr>
      <w:tr>
        <w:tc>
          <w:tcPr>
            <w:shd w:fill="F2F4FB"/>
            <w:tcMar>
              <w:top w:type="dxa" w:w="60"/>
              <w:left w:type="dxa" w:w="90"/>
              <w:bottom w:type="dxa" w:w="60"/>
              <w:right w:type="dxa" w:w="90"/>
            </w:tcMar>
          </w:tcPr>
          <w:p>
            <w:r>
              <w:rPr>
                <w:b w:val="false"/>
                <w:bCs w:val="false"/>
                <w:color w:val="1B2138"/>
                <w:sz w:val="18"/>
                <w:szCs w:val="18"/>
              </w:rPr>
              <w:t xml:space="preserve">Version</w:t>
            </w:r>
          </w:p>
        </w:tc>
        <w:tc>
          <w:tcPr>
            <w:shd w:fill="F2F4FB"/>
            <w:tcMar>
              <w:top w:type="dxa" w:w="60"/>
              <w:left w:type="dxa" w:w="90"/>
              <w:bottom w:type="dxa" w:w="60"/>
              <w:right w:type="dxa" w:w="90"/>
            </w:tcMar>
          </w:tcPr>
          <w:p>
            <w:r>
              <w:rPr>
                <w:b w:val="false"/>
                <w:bCs w:val="false"/>
                <w:color w:val="1B2138"/>
                <w:sz w:val="18"/>
                <w:szCs w:val="18"/>
              </w:rPr>
              <w:t xml:space="preserve">1.0</w:t>
            </w:r>
          </w:p>
        </w:tc>
      </w:tr>
      <w:tr>
        <w:tc>
          <w:tcPr>
            <w:tcMar>
              <w:top w:type="dxa" w:w="60"/>
              <w:left w:type="dxa" w:w="90"/>
              <w:bottom w:type="dxa" w:w="60"/>
              <w:right w:type="dxa" w:w="90"/>
            </w:tcMar>
          </w:tcPr>
          <w:p>
            <w:r>
              <w:rPr>
                <w:b w:val="false"/>
                <w:bCs w:val="false"/>
                <w:color w:val="1B2138"/>
                <w:sz w:val="18"/>
                <w:szCs w:val="18"/>
              </w:rPr>
              <w:t xml:space="preserve">Date</w:t>
            </w:r>
          </w:p>
        </w:tc>
        <w:tc>
          <w:tcPr>
            <w:tcMar>
              <w:top w:type="dxa" w:w="60"/>
              <w:left w:type="dxa" w:w="90"/>
              <w:bottom w:type="dxa" w:w="60"/>
              <w:right w:type="dxa" w:w="90"/>
            </w:tcMar>
          </w:tcPr>
          <w:p>
            <w:r>
              <w:rPr>
                <w:b w:val="false"/>
                <w:bCs w:val="false"/>
                <w:color w:val="1B2138"/>
                <w:sz w:val="18"/>
                <w:szCs w:val="18"/>
              </w:rPr>
              <w:t xml:space="preserve">2026-08-01</w:t>
            </w:r>
          </w:p>
        </w:tc>
      </w:tr>
      <w:tr>
        <w:tc>
          <w:tcPr>
            <w:shd w:fill="F2F4FB"/>
            <w:tcMar>
              <w:top w:type="dxa" w:w="60"/>
              <w:left w:type="dxa" w:w="90"/>
              <w:bottom w:type="dxa" w:w="60"/>
              <w:right w:type="dxa" w:w="90"/>
            </w:tcMar>
          </w:tcPr>
          <w:p>
            <w:r>
              <w:rPr>
                <w:b w:val="false"/>
                <w:bCs w:val="false"/>
                <w:color w:val="1B2138"/>
                <w:sz w:val="18"/>
                <w:szCs w:val="18"/>
              </w:rPr>
              <w:t xml:space="preserve">Prepared by</w:t>
            </w:r>
          </w:p>
        </w:tc>
        <w:tc>
          <w:tcPr>
            <w:shd w:fill="F2F4FB"/>
            <w:tcMar>
              <w:top w:type="dxa" w:w="60"/>
              <w:left w:type="dxa" w:w="90"/>
              <w:bottom w:type="dxa" w:w="60"/>
              <w:right w:type="dxa" w:w="90"/>
            </w:tcMar>
          </w:tcPr>
          <w:p>
            <w:r>
              <w:rPr>
                <w:b w:val="false"/>
                <w:bCs w:val="false"/>
                <w:color w:val="1B2138"/>
                <w:sz w:val="18"/>
                <w:szCs w:val="18"/>
              </w:rPr>
              <w:t xml:space="preserve">TandSol</w:t>
            </w:r>
          </w:p>
        </w:tc>
      </w:tr>
      <w:tr>
        <w:tc>
          <w:tcPr>
            <w:tcMar>
              <w:top w:type="dxa" w:w="60"/>
              <w:left w:type="dxa" w:w="90"/>
              <w:bottom w:type="dxa" w:w="60"/>
              <w:right w:type="dxa" w:w="90"/>
            </w:tcMar>
          </w:tcPr>
          <w:p>
            <w:r>
              <w:rPr>
                <w:b w:val="false"/>
                <w:bCs w:val="false"/>
                <w:color w:val="1B2138"/>
                <w:sz w:val="18"/>
                <w:szCs w:val="18"/>
              </w:rPr>
              <w:t xml:space="preserve">Status</w:t>
            </w:r>
          </w:p>
        </w:tc>
        <w:tc>
          <w:tcPr>
            <w:tcMar>
              <w:top w:type="dxa" w:w="60"/>
              <w:left w:type="dxa" w:w="90"/>
              <w:bottom w:type="dxa" w:w="60"/>
              <w:right w:type="dxa" w:w="90"/>
            </w:tcMar>
          </w:tcPr>
          <w:p>
            <w:r>
              <w:rPr>
                <w:b w:val="false"/>
                <w:bCs w:val="false"/>
                <w:color w:val="1B2138"/>
                <w:sz w:val="18"/>
                <w:szCs w:val="18"/>
              </w:rPr>
              <w:t xml:space="preserve">Baselined</w:t>
            </w:r>
          </w:p>
        </w:tc>
      </w:tr>
      <w:tr>
        <w:tc>
          <w:tcPr>
            <w:shd w:fill="F2F4FB"/>
            <w:tcMar>
              <w:top w:type="dxa" w:w="60"/>
              <w:left w:type="dxa" w:w="90"/>
              <w:bottom w:type="dxa" w:w="60"/>
              <w:right w:type="dxa" w:w="90"/>
            </w:tcMar>
          </w:tcPr>
          <w:p>
            <w:r>
              <w:rPr>
                <w:b w:val="false"/>
                <w:bCs w:val="false"/>
                <w:color w:val="1B2138"/>
                <w:sz w:val="18"/>
                <w:szCs w:val="18"/>
              </w:rPr>
              <w:t xml:space="preserve">Related documents</w:t>
            </w:r>
          </w:p>
        </w:tc>
        <w:tc>
          <w:tcPr>
            <w:shd w:fill="F2F4FB"/>
            <w:tcMar>
              <w:top w:type="dxa" w:w="60"/>
              <w:left w:type="dxa" w:w="90"/>
              <w:bottom w:type="dxa" w:w="60"/>
              <w:right w:type="dxa" w:w="90"/>
            </w:tcMar>
          </w:tcPr>
          <w:p>
            <w:r>
              <w:rPr>
                <w:b w:val="false"/>
                <w:bCs w:val="false"/>
                <w:color w:val="1B2138"/>
                <w:sz w:val="18"/>
                <w:szCs w:val="18"/>
              </w:rPr>
              <w:t xml:space="preserve">PD-CHR-001, PD-RTM-001, PD-SDD-001, PD-RSK-001, PD-TL-001</w:t>
            </w:r>
          </w:p>
        </w:tc>
      </w:tr>
      <w:tr>
        <w:tc>
          <w:tcPr>
            <w:tcMar>
              <w:top w:type="dxa" w:w="60"/>
              <w:left w:type="dxa" w:w="90"/>
              <w:bottom w:type="dxa" w:w="60"/>
              <w:right w:type="dxa" w:w="90"/>
            </w:tcMar>
          </w:tcPr>
          <w:p>
            <w:r>
              <w:rPr>
                <w:b w:val="false"/>
                <w:bCs w:val="false"/>
                <w:color w:val="1B2138"/>
                <w:sz w:val="18"/>
                <w:szCs w:val="18"/>
              </w:rPr>
              <w:t xml:space="preserve">Classification</w:t>
            </w:r>
          </w:p>
        </w:tc>
        <w:tc>
          <w:tcPr>
            <w:tcMar>
              <w:top w:type="dxa" w:w="60"/>
              <w:left w:type="dxa" w:w="90"/>
              <w:bottom w:type="dxa" w:w="60"/>
              <w:right w:type="dxa" w:w="90"/>
            </w:tcMar>
          </w:tcPr>
          <w:p>
            <w:r>
              <w:rPr>
                <w:b w:val="false"/>
                <w:bCs w:val="false"/>
                <w:color w:val="1B2138"/>
                <w:sz w:val="18"/>
                <w:szCs w:val="18"/>
              </w:rPr>
              <w:t xml:space="preserve">Internal</w:t>
            </w:r>
          </w:p>
        </w:tc>
      </w:tr>
      <w:tr>
        <w:tc>
          <w:tcPr>
            <w:shd w:fill="F2F4FB"/>
            <w:tcMar>
              <w:top w:type="dxa" w:w="60"/>
              <w:left w:type="dxa" w:w="90"/>
              <w:bottom w:type="dxa" w:w="60"/>
              <w:right w:type="dxa" w:w="90"/>
            </w:tcMar>
          </w:tcPr>
          <w:p>
            <w:r>
              <w:rPr>
                <w:b w:val="false"/>
                <w:bCs w:val="false"/>
                <w:color w:val="1B2138"/>
                <w:sz w:val="18"/>
                <w:szCs w:val="18"/>
              </w:rPr>
              <w:t xml:space="preserve">Revision note</w:t>
            </w:r>
          </w:p>
        </w:tc>
        <w:tc>
          <w:tcPr>
            <w:shd w:fill="F2F4FB"/>
            <w:tcMar>
              <w:top w:type="dxa" w:w="60"/>
              <w:left w:type="dxa" w:w="90"/>
              <w:bottom w:type="dxa" w:w="60"/>
              <w:right w:type="dxa" w:w="90"/>
            </w:tcMar>
          </w:tcPr>
          <w:p>
            <w:r>
              <w:rPr>
                <w:b w:val="false"/>
                <w:bCs w:val="false"/>
                <w:color w:val="1B2138"/>
                <w:sz w:val="18"/>
                <w:szCs w:val="18"/>
              </w:rPr>
              <w:t xml:space="preserve">v1.0 — initial baseline issued with the first working build.</w:t>
            </w:r>
          </w:p>
        </w:tc>
      </w:tr>
    </w:tbl>
    <w:p>
      <w:pPr>
        <w:spacing w:after="240"/>
      </w:pPr>
    </w:p>
    <w:p>
      <w:pPr>
        <w:pStyle w:val="Heading1"/>
        <w:spacing w:after="120" w:before="240"/>
      </w:pPr>
      <w:r>
        <w:t xml:space="preserve">1. Delivery approach</w:t>
      </w:r>
    </w:p>
    <w:p>
      <w:pPr>
        <w:spacing w:after="120"/>
      </w:pPr>
      <w:r>
        <w:t xml:space="preserve">Single-increment delivery by one owner-developer. The seven panels named in the charter were treated as one release rather than a backlog, because each panel is small and the value only appears when the dashboard is complete. Data services were built and smoke-tested against live endpoints before any interface work started, so that layout decisions were made against real values rather than placeholders.</w:t>
      </w:r>
    </w:p>
    <w:p>
      <w:pPr>
        <w:pStyle w:val="Heading1"/>
        <w:spacing w:after="120" w:before="240"/>
      </w:pPr>
      <w:r>
        <w:t xml:space="preserve">2. Governance</w:t>
      </w:r>
    </w:p>
    <w:tbl>
      <w:tblPr>
        <w:tblW w:type="pct" w:w="100%"/>
        <w:tblBorders>
          <w:top w:val="single" w:color="D8DEF0" w:sz="2"/>
          <w:left w:val="single" w:color="D8DEF0" w:sz="2"/>
          <w:bottom w:val="single" w:color="D8DEF0" w:sz="2"/>
          <w:right w:val="single" w:color="D8DEF0" w:sz="2"/>
          <w:insideH w:val="single" w:color="D8DEF0" w:sz="2"/>
          <w:insideV w:val="single" w:color="D8DEF0" w:sz="2"/>
        </w:tblBorders>
      </w:tblPr>
      <w:tblGrid>
        <w:gridCol w:w="3200"/>
        <w:gridCol w:w="3200"/>
        <w:gridCol w:w="3200"/>
      </w:tblGrid>
      <w:tr>
        <w:trPr>
          <w:tblHeader/>
        </w:trPr>
        <w:tc>
          <w:tcPr>
            <w:shd w:fill="3B2E7E"/>
            <w:tcMar>
              <w:top w:type="dxa" w:w="60"/>
              <w:left w:type="dxa" w:w="90"/>
              <w:bottom w:type="dxa" w:w="60"/>
              <w:right w:type="dxa" w:w="90"/>
            </w:tcMar>
          </w:tcPr>
          <w:p>
            <w:r>
              <w:rPr>
                <w:b/>
                <w:bCs/>
                <w:color w:val="FFFFFF"/>
                <w:sz w:val="18"/>
                <w:szCs w:val="18"/>
              </w:rPr>
              <w:t xml:space="preserve">Decision</w:t>
            </w:r>
          </w:p>
        </w:tc>
        <w:tc>
          <w:tcPr>
            <w:shd w:fill="3B2E7E"/>
            <w:tcMar>
              <w:top w:type="dxa" w:w="60"/>
              <w:left w:type="dxa" w:w="90"/>
              <w:bottom w:type="dxa" w:w="60"/>
              <w:right w:type="dxa" w:w="90"/>
            </w:tcMar>
          </w:tcPr>
          <w:p>
            <w:r>
              <w:rPr>
                <w:b/>
                <w:bCs/>
                <w:color w:val="FFFFFF"/>
                <w:sz w:val="18"/>
                <w:szCs w:val="18"/>
              </w:rPr>
              <w:t xml:space="preserve">Owner</w:t>
            </w:r>
          </w:p>
        </w:tc>
        <w:tc>
          <w:tcPr>
            <w:shd w:fill="3B2E7E"/>
            <w:tcMar>
              <w:top w:type="dxa" w:w="60"/>
              <w:left w:type="dxa" w:w="90"/>
              <w:bottom w:type="dxa" w:w="60"/>
              <w:right w:type="dxa" w:w="90"/>
            </w:tcMar>
          </w:tcPr>
          <w:p>
            <w:r>
              <w:rPr>
                <w:b/>
                <w:bCs/>
                <w:color w:val="FFFFFF"/>
                <w:sz w:val="18"/>
                <w:szCs w:val="18"/>
              </w:rPr>
              <w:t xml:space="preserve">Escalation</w:t>
            </w:r>
          </w:p>
        </w:tc>
      </w:tr>
      <w:tr>
        <w:tc>
          <w:tcPr>
            <w:tcMar>
              <w:top w:type="dxa" w:w="60"/>
              <w:left w:type="dxa" w:w="90"/>
              <w:bottom w:type="dxa" w:w="60"/>
              <w:right w:type="dxa" w:w="90"/>
            </w:tcMar>
          </w:tcPr>
          <w:p>
            <w:r>
              <w:rPr>
                <w:b w:val="false"/>
                <w:bCs w:val="false"/>
                <w:color w:val="1B2138"/>
                <w:sz w:val="18"/>
                <w:szCs w:val="18"/>
              </w:rPr>
              <w:t xml:space="preserve">Scope change</w:t>
            </w:r>
          </w:p>
        </w:tc>
        <w:tc>
          <w:tcPr>
            <w:tcMar>
              <w:top w:type="dxa" w:w="60"/>
              <w:left w:type="dxa" w:w="90"/>
              <w:bottom w:type="dxa" w:w="60"/>
              <w:right w:type="dxa" w:w="90"/>
            </w:tcMar>
          </w:tcPr>
          <w:p>
            <w:r>
              <w:rPr>
                <w:b w:val="false"/>
                <w:bCs w:val="false"/>
                <w:color w:val="1B2138"/>
                <w:sz w:val="18"/>
                <w:szCs w:val="18"/>
              </w:rPr>
              <w:t xml:space="preserve">Owner</w:t>
            </w:r>
          </w:p>
        </w:tc>
        <w:tc>
          <w:tcPr>
            <w:tcMar>
              <w:top w:type="dxa" w:w="60"/>
              <w:left w:type="dxa" w:w="90"/>
              <w:bottom w:type="dxa" w:w="60"/>
              <w:right w:type="dxa" w:w="90"/>
            </w:tcMar>
          </w:tcPr>
          <w:p>
            <w:r>
              <w:rPr>
                <w:b w:val="false"/>
                <w:bCs w:val="false"/>
                <w:color w:val="1B2138"/>
                <w:sz w:val="18"/>
                <w:szCs w:val="18"/>
              </w:rPr>
              <w:t xml:space="preserve">Primary user</w:t>
            </w:r>
          </w:p>
        </w:tc>
      </w:tr>
      <w:tr>
        <w:tc>
          <w:tcPr>
            <w:shd w:fill="F2F4FB"/>
            <w:tcMar>
              <w:top w:type="dxa" w:w="60"/>
              <w:left w:type="dxa" w:w="90"/>
              <w:bottom w:type="dxa" w:w="60"/>
              <w:right w:type="dxa" w:w="90"/>
            </w:tcMar>
          </w:tcPr>
          <w:p>
            <w:r>
              <w:rPr>
                <w:b w:val="false"/>
                <w:bCs w:val="false"/>
                <w:color w:val="1B2138"/>
                <w:sz w:val="18"/>
                <w:szCs w:val="18"/>
              </w:rPr>
              <w:t xml:space="preserve">Risk acceptance</w:t>
            </w:r>
          </w:p>
        </w:tc>
        <w:tc>
          <w:tcPr>
            <w:shd w:fill="F2F4FB"/>
            <w:tcMar>
              <w:top w:type="dxa" w:w="60"/>
              <w:left w:type="dxa" w:w="90"/>
              <w:bottom w:type="dxa" w:w="60"/>
              <w:right w:type="dxa" w:w="90"/>
            </w:tcMar>
          </w:tcPr>
          <w:p>
            <w:r>
              <w:rPr>
                <w:b w:val="false"/>
                <w:bCs w:val="false"/>
                <w:color w:val="1B2138"/>
                <w:sz w:val="18"/>
                <w:szCs w:val="18"/>
              </w:rPr>
              <w:t xml:space="preserve">Owner</w:t>
            </w:r>
          </w:p>
        </w:tc>
        <w:tc>
          <w:tcPr>
            <w:shd w:fill="F2F4FB"/>
            <w:tcMar>
              <w:top w:type="dxa" w:w="60"/>
              <w:left w:type="dxa" w:w="90"/>
              <w:bottom w:type="dxa" w:w="60"/>
              <w:right w:type="dxa" w:w="90"/>
            </w:tcMar>
          </w:tcPr>
          <w:p>
            <w:r>
              <w:rPr>
                <w:b w:val="false"/>
                <w:bCs w:val="false"/>
                <w:color w:val="1B2138"/>
                <w:sz w:val="18"/>
                <w:szCs w:val="18"/>
              </w:rPr>
              <w:t xml:space="preserve">Primary user</w:t>
            </w:r>
          </w:p>
        </w:tc>
      </w:tr>
      <w:tr>
        <w:tc>
          <w:tcPr>
            <w:tcMar>
              <w:top w:type="dxa" w:w="60"/>
              <w:left w:type="dxa" w:w="90"/>
              <w:bottom w:type="dxa" w:w="60"/>
              <w:right w:type="dxa" w:w="90"/>
            </w:tcMar>
          </w:tcPr>
          <w:p>
            <w:r>
              <w:rPr>
                <w:b w:val="false"/>
                <w:bCs w:val="false"/>
                <w:color w:val="1B2138"/>
                <w:sz w:val="18"/>
                <w:szCs w:val="18"/>
              </w:rPr>
              <w:t xml:space="preserve">Release approval</w:t>
            </w:r>
          </w:p>
        </w:tc>
        <w:tc>
          <w:tcPr>
            <w:tcMar>
              <w:top w:type="dxa" w:w="60"/>
              <w:left w:type="dxa" w:w="90"/>
              <w:bottom w:type="dxa" w:w="60"/>
              <w:right w:type="dxa" w:w="90"/>
            </w:tcMar>
          </w:tcPr>
          <w:p>
            <w:r>
              <w:rPr>
                <w:b w:val="false"/>
                <w:bCs w:val="false"/>
                <w:color w:val="1B2138"/>
                <w:sz w:val="18"/>
                <w:szCs w:val="18"/>
              </w:rPr>
              <w:t xml:space="preserve">Owner</w:t>
            </w:r>
          </w:p>
        </w:tc>
        <w:tc>
          <w:tcPr>
            <w:tcMar>
              <w:top w:type="dxa" w:w="60"/>
              <w:left w:type="dxa" w:w="90"/>
              <w:bottom w:type="dxa" w:w="60"/>
              <w:right w:type="dxa" w:w="90"/>
            </w:tcMar>
          </w:tcPr>
          <w:p>
            <w:r>
              <w:rPr>
                <w:b w:val="false"/>
                <w:bCs w:val="false"/>
                <w:color w:val="1B2138"/>
                <w:sz w:val="18"/>
                <w:szCs w:val="18"/>
              </w:rPr>
              <w:t xml:space="preserve">—</w:t>
            </w:r>
          </w:p>
        </w:tc>
      </w:tr>
      <w:tr>
        <w:tc>
          <w:tcPr>
            <w:shd w:fill="F2F4FB"/>
            <w:tcMar>
              <w:top w:type="dxa" w:w="60"/>
              <w:left w:type="dxa" w:w="90"/>
              <w:bottom w:type="dxa" w:w="60"/>
              <w:right w:type="dxa" w:w="90"/>
            </w:tcMar>
          </w:tcPr>
          <w:p>
            <w:r>
              <w:rPr>
                <w:b w:val="false"/>
                <w:bCs w:val="false"/>
                <w:color w:val="1B2138"/>
                <w:sz w:val="18"/>
                <w:szCs w:val="18"/>
              </w:rPr>
              <w:t xml:space="preserve">Data-source substitution</w:t>
            </w:r>
          </w:p>
        </w:tc>
        <w:tc>
          <w:tcPr>
            <w:shd w:fill="F2F4FB"/>
            <w:tcMar>
              <w:top w:type="dxa" w:w="60"/>
              <w:left w:type="dxa" w:w="90"/>
              <w:bottom w:type="dxa" w:w="60"/>
              <w:right w:type="dxa" w:w="90"/>
            </w:tcMar>
          </w:tcPr>
          <w:p>
            <w:r>
              <w:rPr>
                <w:b w:val="false"/>
                <w:bCs w:val="false"/>
                <w:color w:val="1B2138"/>
                <w:sz w:val="18"/>
                <w:szCs w:val="18"/>
              </w:rPr>
              <w:t xml:space="preserve">Maintainer</w:t>
            </w:r>
          </w:p>
        </w:tc>
        <w:tc>
          <w:tcPr>
            <w:shd w:fill="F2F4FB"/>
            <w:tcMar>
              <w:top w:type="dxa" w:w="60"/>
              <w:left w:type="dxa" w:w="90"/>
              <w:bottom w:type="dxa" w:w="60"/>
              <w:right w:type="dxa" w:w="90"/>
            </w:tcMar>
          </w:tcPr>
          <w:p>
            <w:r>
              <w:rPr>
                <w:b w:val="false"/>
                <w:bCs w:val="false"/>
                <w:color w:val="1B2138"/>
                <w:sz w:val="18"/>
                <w:szCs w:val="18"/>
              </w:rPr>
              <w:t xml:space="preserve">Owner</w:t>
            </w:r>
          </w:p>
        </w:tc>
      </w:tr>
      <w:tr>
        <w:tc>
          <w:tcPr>
            <w:tcMar>
              <w:top w:type="dxa" w:w="60"/>
              <w:left w:type="dxa" w:w="90"/>
              <w:bottom w:type="dxa" w:w="60"/>
              <w:right w:type="dxa" w:w="90"/>
            </w:tcMar>
          </w:tcPr>
          <w:p>
            <w:r>
              <w:rPr>
                <w:b w:val="false"/>
                <w:bCs w:val="false"/>
                <w:color w:val="1B2138"/>
                <w:sz w:val="18"/>
                <w:szCs w:val="18"/>
              </w:rPr>
              <w:t xml:space="preserve">Document baseline</w:t>
            </w:r>
          </w:p>
        </w:tc>
        <w:tc>
          <w:tcPr>
            <w:tcMar>
              <w:top w:type="dxa" w:w="60"/>
              <w:left w:type="dxa" w:w="90"/>
              <w:bottom w:type="dxa" w:w="60"/>
              <w:right w:type="dxa" w:w="90"/>
            </w:tcMar>
          </w:tcPr>
          <w:p>
            <w:r>
              <w:rPr>
                <w:b w:val="false"/>
                <w:bCs w:val="false"/>
                <w:color w:val="1B2138"/>
                <w:sz w:val="18"/>
                <w:szCs w:val="18"/>
              </w:rPr>
              <w:t xml:space="preserve">Owner</w:t>
            </w:r>
          </w:p>
        </w:tc>
        <w:tc>
          <w:tcPr>
            <w:tcMar>
              <w:top w:type="dxa" w:w="60"/>
              <w:left w:type="dxa" w:w="90"/>
              <w:bottom w:type="dxa" w:w="60"/>
              <w:right w:type="dxa" w:w="90"/>
            </w:tcMar>
          </w:tcPr>
          <w:p>
            <w:r>
              <w:rPr>
                <w:b w:val="false"/>
                <w:bCs w:val="false"/>
                <w:color w:val="1B2138"/>
                <w:sz w:val="18"/>
                <w:szCs w:val="18"/>
              </w:rPr>
              <w:t xml:space="preserve">—</w:t>
            </w:r>
          </w:p>
        </w:tc>
      </w:tr>
    </w:tbl>
    <w:p>
      <w:pPr>
        <w:pStyle w:val="Heading1"/>
        <w:spacing w:after="120" w:before="240"/>
      </w:pPr>
      <w:r>
        <w:t xml:space="preserve">3. Schedule</w:t>
      </w:r>
    </w:p>
    <w:p>
      <w:pPr>
        <w:spacing w:after="120"/>
      </w:pPr>
      <w:r>
        <w:t xml:space="preserve">Phases and dates are held in PD-TL-001. Phases 1 to 7 completed on 2026-08-01; phase 8 carries the roadmap items through 2026-10-31. The Gantt tab shows the parallel run of the service and shell phases.</w:t>
      </w:r>
    </w:p>
    <w:p>
      <w:pPr>
        <w:pStyle w:val="Heading1"/>
        <w:spacing w:after="120" w:before="240"/>
      </w:pPr>
      <w:r>
        <w:t xml:space="preserve">4. Scope management</w:t>
      </w:r>
    </w:p>
    <w:p>
      <w:pPr>
        <w:spacing w:after="120"/>
      </w:pPr>
      <w:r>
        <w:t xml:space="preserve">PD-RTM-001 is the scope baseline. A change is accepted only when it is added there as a new Req ID with a Design Ref pointing at the SDD section that will realise it. Requirements are never deleted — a withdrawn requirement keeps its row with a [DEPRECATED — reason] prefix so the history stays readable. Any scope change triggers a same-day update to the affected documents and a version bump with a dated revision note on the cover.</w:t>
      </w:r>
    </w:p>
    <w:p>
      <w:pPr>
        <w:pStyle w:val="Heading1"/>
        <w:spacing w:after="120" w:before="240"/>
      </w:pPr>
      <w:r>
        <w:t xml:space="preserve">5. Quality management</w:t>
      </w:r>
    </w:p>
    <w:p>
      <w:pPr>
        <w:pStyle w:val="ListParagraph"/>
        <w:numPr>
          <w:ilvl w:val="0"/>
          <w:numId w:val="1"/>
        </w:numPr>
        <w:spacing w:after="60"/>
      </w:pPr>
      <w:r>
        <w:t xml:space="preserve">Each data service is exercised against its live endpoint before it is wired into the app.</w:t>
      </w:r>
    </w:p>
    <w:p>
      <w:pPr>
        <w:pStyle w:val="ListParagraph"/>
        <w:numPr>
          <w:ilvl w:val="0"/>
          <w:numId w:val="1"/>
        </w:numPr>
        <w:spacing w:after="60"/>
      </w:pPr>
      <w:r>
        <w:t xml:space="preserve">Derived numbers are sanity-checked against an independent source — index moves against the exchange site, portfolio P&amp;L against a broker statement.</w:t>
      </w:r>
    </w:p>
    <w:p>
      <w:pPr>
        <w:pStyle w:val="ListParagraph"/>
        <w:numPr>
          <w:ilvl w:val="0"/>
          <w:numId w:val="1"/>
        </w:numPr>
        <w:spacing w:after="60"/>
      </w:pPr>
      <w:r>
        <w:t xml:space="preserve">The interface is audited at 1240 px, 760 px and 620 px, checking for clipped cards and horizontal overflow.</w:t>
      </w:r>
    </w:p>
    <w:p>
      <w:pPr>
        <w:pStyle w:val="ListParagraph"/>
        <w:numPr>
          <w:ilvl w:val="0"/>
          <w:numId w:val="1"/>
        </w:numPr>
        <w:spacing w:after="60"/>
      </w:pPr>
      <w:r>
        <w:t xml:space="preserve">A security pass covers the Electron hardening checklist before any release.</w:t>
      </w:r>
    </w:p>
    <w:p>
      <w:pPr>
        <w:pStyle w:val="ListParagraph"/>
        <w:numPr>
          <w:ilvl w:val="0"/>
          <w:numId w:val="1"/>
        </w:numPr>
        <w:spacing w:after="60"/>
      </w:pPr>
      <w:r>
        <w:t xml:space="preserve">Definition of done: it parses, the happy path and one edge case pass, no injection or secret-handling defects, the app runs, and the Code Register and RTM are updated.</w:t>
      </w:r>
    </w:p>
    <w:p>
      <w:pPr>
        <w:pStyle w:val="Heading1"/>
        <w:spacing w:after="120" w:before="240"/>
      </w:pPr>
      <w:r>
        <w:t xml:space="preserve">6. Risk management</w:t>
      </w:r>
    </w:p>
    <w:p>
      <w:pPr>
        <w:spacing w:after="120"/>
      </w:pPr>
      <w:r>
        <w:t xml:space="preserve">PD-RSK-001 holds the register. Score is likelihood multiplied by impact, calculated by formula, banded as High at fifteen or above, Medium from eight to fourteen, and Low below that. High risks carry a named owner and a dated action. The register is reviewed whenever a data source changes behaviour and at each release.</w:t>
      </w:r>
    </w:p>
    <w:p>
      <w:pPr>
        <w:pStyle w:val="Heading1"/>
        <w:spacing w:after="120" w:before="240"/>
      </w:pPr>
      <w:r>
        <w:t xml:space="preserve">7. Configuration management</w:t>
      </w:r>
    </w:p>
    <w:p>
      <w:pPr>
        <w:spacing w:after="120"/>
      </w:pPr>
      <w:r>
        <w:t xml:space="preserve">Git holds every change, one commit per file, with messages in the form feat|fix|refactor|docs|chore: description. Runtime state lives outside the repository in the Electron userData directory so that user data is never committed. Node modules and build output are excluded by .gitignore. Electron and electron-builder versions are pinned in package.json; an upgrade is treated as a change requiring the pinning and transparency smoke test named in RSK-011.</w:t>
      </w:r>
    </w:p>
    <w:p>
      <w:pPr>
        <w:pStyle w:val="Heading1"/>
        <w:spacing w:after="120" w:before="240"/>
      </w:pPr>
      <w:r>
        <w:t xml:space="preserve">8. Communication</w:t>
      </w:r>
    </w:p>
    <w:tbl>
      <w:tblPr>
        <w:tblW w:type="pct" w:w="100%"/>
        <w:tblBorders>
          <w:top w:val="single" w:color="D8DEF0" w:sz="2"/>
          <w:left w:val="single" w:color="D8DEF0" w:sz="2"/>
          <w:bottom w:val="single" w:color="D8DEF0" w:sz="2"/>
          <w:right w:val="single" w:color="D8DEF0" w:sz="2"/>
          <w:insideH w:val="single" w:color="D8DEF0" w:sz="2"/>
          <w:insideV w:val="single" w:color="D8DEF0" w:sz="2"/>
        </w:tblBorders>
      </w:tblPr>
      <w:tblGrid>
        <w:gridCol w:w="3200"/>
        <w:gridCol w:w="3200"/>
        <w:gridCol w:w="3200"/>
      </w:tblGrid>
      <w:tr>
        <w:trPr>
          <w:tblHeader/>
        </w:trPr>
        <w:tc>
          <w:tcPr>
            <w:shd w:fill="3B2E7E"/>
            <w:tcMar>
              <w:top w:type="dxa" w:w="60"/>
              <w:left w:type="dxa" w:w="90"/>
              <w:bottom w:type="dxa" w:w="60"/>
              <w:right w:type="dxa" w:w="90"/>
            </w:tcMar>
          </w:tcPr>
          <w:p>
            <w:r>
              <w:rPr>
                <w:b/>
                <w:bCs/>
                <w:color w:val="FFFFFF"/>
                <w:sz w:val="18"/>
                <w:szCs w:val="18"/>
              </w:rPr>
              <w:t xml:space="preserve">Artefact</w:t>
            </w:r>
          </w:p>
        </w:tc>
        <w:tc>
          <w:tcPr>
            <w:shd w:fill="3B2E7E"/>
            <w:tcMar>
              <w:top w:type="dxa" w:w="60"/>
              <w:left w:type="dxa" w:w="90"/>
              <w:bottom w:type="dxa" w:w="60"/>
              <w:right w:type="dxa" w:w="90"/>
            </w:tcMar>
          </w:tcPr>
          <w:p>
            <w:r>
              <w:rPr>
                <w:b/>
                <w:bCs/>
                <w:color w:val="FFFFFF"/>
                <w:sz w:val="18"/>
                <w:szCs w:val="18"/>
              </w:rPr>
              <w:t xml:space="preserve">Audience</w:t>
            </w:r>
          </w:p>
        </w:tc>
        <w:tc>
          <w:tcPr>
            <w:shd w:fill="3B2E7E"/>
            <w:tcMar>
              <w:top w:type="dxa" w:w="60"/>
              <w:left w:type="dxa" w:w="90"/>
              <w:bottom w:type="dxa" w:w="60"/>
              <w:right w:type="dxa" w:w="90"/>
            </w:tcMar>
          </w:tcPr>
          <w:p>
            <w:r>
              <w:rPr>
                <w:b/>
                <w:bCs/>
                <w:color w:val="FFFFFF"/>
                <w:sz w:val="18"/>
                <w:szCs w:val="18"/>
              </w:rPr>
              <w:t xml:space="preserve">Frequency</w:t>
            </w:r>
          </w:p>
        </w:tc>
      </w:tr>
      <w:tr>
        <w:tc>
          <w:tcPr>
            <w:tcMar>
              <w:top w:type="dxa" w:w="60"/>
              <w:left w:type="dxa" w:w="90"/>
              <w:bottom w:type="dxa" w:w="60"/>
              <w:right w:type="dxa" w:w="90"/>
            </w:tcMar>
          </w:tcPr>
          <w:p>
            <w:r>
              <w:rPr>
                <w:b w:val="false"/>
                <w:bCs w:val="false"/>
                <w:color w:val="1B2138"/>
                <w:sz w:val="18"/>
                <w:szCs w:val="18"/>
              </w:rPr>
              <w:t xml:space="preserve">README.md handbook</w:t>
            </w:r>
          </w:p>
        </w:tc>
        <w:tc>
          <w:tcPr>
            <w:tcMar>
              <w:top w:type="dxa" w:w="60"/>
              <w:left w:type="dxa" w:w="90"/>
              <w:bottom w:type="dxa" w:w="60"/>
              <w:right w:type="dxa" w:w="90"/>
            </w:tcMar>
          </w:tcPr>
          <w:p>
            <w:r>
              <w:rPr>
                <w:b w:val="false"/>
                <w:bCs w:val="false"/>
                <w:color w:val="1B2138"/>
                <w:sz w:val="18"/>
                <w:szCs w:val="18"/>
              </w:rPr>
              <w:t xml:space="preserve">Anyone opening the project</w:t>
            </w:r>
          </w:p>
        </w:tc>
        <w:tc>
          <w:tcPr>
            <w:tcMar>
              <w:top w:type="dxa" w:w="60"/>
              <w:left w:type="dxa" w:w="90"/>
              <w:bottom w:type="dxa" w:w="60"/>
              <w:right w:type="dxa" w:w="90"/>
            </w:tcMar>
          </w:tcPr>
          <w:p>
            <w:r>
              <w:rPr>
                <w:b w:val="false"/>
                <w:bCs w:val="false"/>
                <w:color w:val="1B2138"/>
                <w:sz w:val="18"/>
                <w:szCs w:val="18"/>
              </w:rPr>
              <w:t xml:space="preserve">Updated on every scope change</w:t>
            </w:r>
          </w:p>
        </w:tc>
      </w:tr>
      <w:tr>
        <w:tc>
          <w:tcPr>
            <w:shd w:fill="F2F4FB"/>
            <w:tcMar>
              <w:top w:type="dxa" w:w="60"/>
              <w:left w:type="dxa" w:w="90"/>
              <w:bottom w:type="dxa" w:w="60"/>
              <w:right w:type="dxa" w:w="90"/>
            </w:tcMar>
          </w:tcPr>
          <w:p>
            <w:r>
              <w:rPr>
                <w:b w:val="false"/>
                <w:bCs w:val="false"/>
                <w:color w:val="1B2138"/>
                <w:sz w:val="18"/>
                <w:szCs w:val="18"/>
              </w:rPr>
              <w:t xml:space="preserve">Risk Register</w:t>
            </w:r>
          </w:p>
        </w:tc>
        <w:tc>
          <w:tcPr>
            <w:shd w:fill="F2F4FB"/>
            <w:tcMar>
              <w:top w:type="dxa" w:w="60"/>
              <w:left w:type="dxa" w:w="90"/>
              <w:bottom w:type="dxa" w:w="60"/>
              <w:right w:type="dxa" w:w="90"/>
            </w:tcMar>
          </w:tcPr>
          <w:p>
            <w:r>
              <w:rPr>
                <w:b w:val="false"/>
                <w:bCs w:val="false"/>
                <w:color w:val="1B2138"/>
                <w:sz w:val="18"/>
                <w:szCs w:val="18"/>
              </w:rPr>
              <w:t xml:space="preserve">Owner</w:t>
            </w:r>
          </w:p>
        </w:tc>
        <w:tc>
          <w:tcPr>
            <w:shd w:fill="F2F4FB"/>
            <w:tcMar>
              <w:top w:type="dxa" w:w="60"/>
              <w:left w:type="dxa" w:w="90"/>
              <w:bottom w:type="dxa" w:w="60"/>
              <w:right w:type="dxa" w:w="90"/>
            </w:tcMar>
          </w:tcPr>
          <w:p>
            <w:r>
              <w:rPr>
                <w:b w:val="false"/>
                <w:bCs w:val="false"/>
                <w:color w:val="1B2138"/>
                <w:sz w:val="18"/>
                <w:szCs w:val="18"/>
              </w:rPr>
              <w:t xml:space="preserve">Reviewed per release and on feed failure</w:t>
            </w:r>
          </w:p>
        </w:tc>
      </w:tr>
      <w:tr>
        <w:tc>
          <w:tcPr>
            <w:tcMar>
              <w:top w:type="dxa" w:w="60"/>
              <w:left w:type="dxa" w:w="90"/>
              <w:bottom w:type="dxa" w:w="60"/>
              <w:right w:type="dxa" w:w="90"/>
            </w:tcMar>
          </w:tcPr>
          <w:p>
            <w:r>
              <w:rPr>
                <w:b w:val="false"/>
                <w:bCs w:val="false"/>
                <w:color w:val="1B2138"/>
                <w:sz w:val="18"/>
                <w:szCs w:val="18"/>
              </w:rPr>
              <w:t xml:space="preserve">DPDP tracker</w:t>
            </w:r>
          </w:p>
        </w:tc>
        <w:tc>
          <w:tcPr>
            <w:tcMar>
              <w:top w:type="dxa" w:w="60"/>
              <w:left w:type="dxa" w:w="90"/>
              <w:bottom w:type="dxa" w:w="60"/>
              <w:right w:type="dxa" w:w="90"/>
            </w:tcMar>
          </w:tcPr>
          <w:p>
            <w:r>
              <w:rPr>
                <w:b w:val="false"/>
                <w:bCs w:val="false"/>
                <w:color w:val="1B2138"/>
                <w:sz w:val="18"/>
                <w:szCs w:val="18"/>
              </w:rPr>
              <w:t xml:space="preserve">Owner</w:t>
            </w:r>
          </w:p>
        </w:tc>
        <w:tc>
          <w:tcPr>
            <w:tcMar>
              <w:top w:type="dxa" w:w="60"/>
              <w:left w:type="dxa" w:w="90"/>
              <w:bottom w:type="dxa" w:w="60"/>
              <w:right w:type="dxa" w:w="90"/>
            </w:tcMar>
          </w:tcPr>
          <w:p>
            <w:r>
              <w:rPr>
                <w:b w:val="false"/>
                <w:bCs w:val="false"/>
                <w:color w:val="1B2138"/>
                <w:sz w:val="18"/>
                <w:szCs w:val="18"/>
              </w:rPr>
              <w:t xml:space="preserve">Reviewed six-monthly</w:t>
            </w:r>
          </w:p>
        </w:tc>
      </w:tr>
      <w:tr>
        <w:tc>
          <w:tcPr>
            <w:shd w:fill="F2F4FB"/>
            <w:tcMar>
              <w:top w:type="dxa" w:w="60"/>
              <w:left w:type="dxa" w:w="90"/>
              <w:bottom w:type="dxa" w:w="60"/>
              <w:right w:type="dxa" w:w="90"/>
            </w:tcMar>
          </w:tcPr>
          <w:p>
            <w:r>
              <w:rPr>
                <w:b w:val="false"/>
                <w:bCs w:val="false"/>
                <w:color w:val="1B2138"/>
                <w:sz w:val="18"/>
                <w:szCs w:val="18"/>
              </w:rPr>
              <w:t xml:space="preserve">Commit history</w:t>
            </w:r>
          </w:p>
        </w:tc>
        <w:tc>
          <w:tcPr>
            <w:shd w:fill="F2F4FB"/>
            <w:tcMar>
              <w:top w:type="dxa" w:w="60"/>
              <w:left w:type="dxa" w:w="90"/>
              <w:bottom w:type="dxa" w:w="60"/>
              <w:right w:type="dxa" w:w="90"/>
            </w:tcMar>
          </w:tcPr>
          <w:p>
            <w:r>
              <w:rPr>
                <w:b w:val="false"/>
                <w:bCs w:val="false"/>
                <w:color w:val="1B2138"/>
                <w:sz w:val="18"/>
                <w:szCs w:val="18"/>
              </w:rPr>
              <w:t xml:space="preserve">Maintainer</w:t>
            </w:r>
          </w:p>
        </w:tc>
        <w:tc>
          <w:tcPr>
            <w:shd w:fill="F2F4FB"/>
            <w:tcMar>
              <w:top w:type="dxa" w:w="60"/>
              <w:left w:type="dxa" w:w="90"/>
              <w:bottom w:type="dxa" w:w="60"/>
              <w:right w:type="dxa" w:w="90"/>
            </w:tcMar>
          </w:tcPr>
          <w:p>
            <w:r>
              <w:rPr>
                <w:b w:val="false"/>
                <w:bCs w:val="false"/>
                <w:color w:val="1B2138"/>
                <w:sz w:val="18"/>
                <w:szCs w:val="18"/>
              </w:rPr>
              <w:t xml:space="preserve">Continuous</w:t>
            </w:r>
          </w:p>
        </w:tc>
      </w:tr>
    </w:tbl>
    <w:p>
      <w:pPr>
        <w:pStyle w:val="Heading1"/>
        <w:spacing w:after="120" w:before="240"/>
      </w:pPr>
      <w:r>
        <w:t xml:space="preserve">9. Release management</w:t>
      </w:r>
    </w:p>
    <w:p>
      <w:pPr>
        <w:spacing w:after="120"/>
      </w:pPr>
      <w:r>
        <w:t xml:space="preserve">npm run build produces an NSIS installer and a portable executable for Windows. A release is cut only when every Must-have requirement in the RTM reads Verified, the risk register carries no unowned High risk, and the handbook status line reflects the build. Installers are unsigned today; signing is a roadmap item and is tracked as a distribution prerequisite.</w:t>
      </w:r>
    </w:p>
    <w:p>
      <w:pPr>
        <w:pStyle w:val="Heading1"/>
        <w:spacing w:after="120" w:before="240"/>
      </w:pPr>
      <w:r>
        <w:t xml:space="preserve">10. Maintenance</w:t>
      </w:r>
    </w:p>
    <w:p>
      <w:pPr>
        <w:spacing w:after="120"/>
      </w:pPr>
      <w:r>
        <w:t xml:space="preserve">Third-party feeds are the main maintenance burden. Each has a documented fallback, and the status bar surfaces the failing service name so a break is visible without opening a console. The sentiment lexicon is reviewed quarterly against a sample of recent headlines. The document set is reviewed six-monthly, or immediately when scope changes.</w:t>
      </w:r>
    </w:p>
    <w:p>
      <w:pPr>
        <w:spacing w:before="400"/>
        <w:jc w:val="center"/>
      </w:pPr>
      <w:r>
        <w:rPr>
          <w:i/>
          <w:iCs/>
          <w:color w:val="6B7391"/>
          <w:sz w:val="16"/>
          <w:szCs w:val="16"/>
        </w:rPr>
        <w:t xml:space="preserve">PulseDesk · TandSol · v1.0 · 2026-08-01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B213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Segoe UI" w:cs="Segoe UI" w:eastAsia="Segoe UI" w:hAnsi="Segoe UI"/>
      <w:b/>
      <w:bCs/>
      <w:color w:val="3B2E7E"/>
      <w:sz w:val="30"/>
      <w:szCs w:val="30"/>
    </w:rPr>
  </w:style>
  <w:style w:type="paragraph" w:styleId="Heading2">
    <w:name w:val="Heading 2"/>
    <w:basedOn w:val="Normal"/>
    <w:next w:val="Normal"/>
    <w:qFormat/>
    <w:rPr>
      <w:rFonts w:ascii="Segoe UI" w:cs="Segoe UI" w:eastAsia="Segoe UI" w:hAnsi="Segoe UI"/>
      <w:b/>
      <w:bCs/>
      <w:color w:val="1B2138"/>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2026-08-01T02:57:35.843Z</dcterms:created>
  <dcterms:modified xsi:type="dcterms:W3CDTF">2026-08-01T02:57:35.843Z</dcterms:modified>
</cp:coreProperties>
</file>

<file path=docProps/custom.xml><?xml version="1.0" encoding="utf-8"?>
<Properties xmlns="http://schemas.openxmlformats.org/officeDocument/2006/custom-properties" xmlns:vt="http://schemas.openxmlformats.org/officeDocument/2006/docPropsVTypes"/>
</file>