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ventas Q3 2026 — borrador</w:t>
      </w:r>
    </w:p>
    <w:p>
      <w:r>
        <w:t>Área comercial · Empresa Demo S.A. · Documento interno (datos ficticios para el curso)</w:t>
      </w:r>
    </w:p>
    <w:p>
      <w:pPr>
        <w:pStyle w:val="Heading1"/>
      </w:pPr>
      <w:r>
        <w:t>Contexto</w:t>
      </w:r>
    </w:p>
    <w:p>
      <w:r>
        <w:t>Este borrador reúne las notas del equipo comercial sobre el tercer trimestre (julio a septiembre de 2026). Está escrito de forma extensa a propósito: la idea es que Claude lo convierta en un reporte ejecutivo breve.</w:t>
      </w:r>
    </w:p>
    <w:p>
      <w:r>
        <w:t>Durante el trimestre se trabajó con 24 clientes activos en tres regiones: Norte, Sur y Centro. El equipo incorporó un nuevo paquete de capacitación y renovó varias licencias anuales.</w:t>
      </w:r>
    </w:p>
    <w:p>
      <w:pPr>
        <w:pStyle w:val="Heading1"/>
      </w:pPr>
      <w:r>
        <w:t>Lo que pasó en el trimestre</w:t>
      </w:r>
    </w:p>
    <w:p>
      <w:r>
        <w:t>La región Centro fue la de mejor desempeño, impulsada por renovaciones de licencias anuales y dos proyectos de implementación. La región Norte se mantuvo estable, aunque con varios pagos pendientes al cierre de septiembre.</w:t>
      </w:r>
    </w:p>
    <w:p>
      <w:r>
        <w:t>La región Sur tuvo un inicio lento en julio, pero se recuperó en agosto gracias a la consultoría por horas. Se detectaron problemas de calidad de datos en la planilla de ventas: registros duplicados, fechas en distintos formatos y estados escritos de forma inconsistente.</w:t>
      </w:r>
    </w:p>
    <w:p>
      <w:pPr>
        <w:pStyle w:val="Heading1"/>
      </w:pPr>
      <w:r>
        <w:t>Clientes destacados</w:t>
      </w:r>
    </w:p>
    <w:p>
      <w:r>
        <w:t>Acme S.A. renovó su licencia anual y pidió una capacitación adicional. Nova Ltda. tiene una capacitación pendiente de pago. Grupo Sur cerró una implementación, aunque falta registrar la fecha. Delta mantiene su soporte mensual.</w:t>
      </w:r>
    </w:p>
    <w:p>
      <w:pPr>
        <w:pStyle w:val="Heading1"/>
      </w:pPr>
      <w:r>
        <w:t>Riesgos y pendientes</w:t>
      </w:r>
    </w:p>
    <w:p>
      <w:r>
        <w:t>Hay cobranzas pendientes que conviene priorizar antes del cierre del año. La planilla de ventas necesita una limpieza para que los reportes sean confiables.</w:t>
      </w:r>
    </w:p>
    <w:p>
      <w:r>
        <w:t>Se propone revisar los precios del soporte mensual y estandarizar cómo se registran los estados de pago.</w:t>
      </w:r>
    </w:p>
    <w:p>
      <w:pPr>
        <w:pStyle w:val="Heading1"/>
      </w:pPr>
      <w:r>
        <w:t>Próximos pasos sugeridos</w:t>
      </w:r>
    </w:p>
    <w:p>
      <w:r>
        <w:t>1) Limpiar y validar la planilla de ventas. 2) Actualizar los estados con el archivo de pagos del área de finanzas. 3) Presentar a gerencia un resumen con las cifras clave y las acciones para el Q4.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