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rPr>
          <w:highlight w:val="none"/>
        </w:rPr>
        <w:t xml:space="preserve">To: Nathan Ford, President of SITS and Sophie Deveraux, General Counsel for SITS</w:t>
      </w:r>
      <w:r>
        <w:rPr>
          <w:highlight w:val="none"/>
        </w:rPr>
      </w:r>
    </w:p>
    <w:p>
      <w:pPr>
        <w:pBdr/>
        <w:spacing/>
        <w:ind/>
        <w:rPr>
          <w:highlight w:val="none"/>
        </w:rPr>
      </w:pPr>
      <w:r>
        <w:rPr>
          <w:highlight w:val="none"/>
        </w:rPr>
        <w:t xml:space="preserve">From: Drew Helgerson, tah568</w:t>
      </w:r>
      <w:r>
        <w:rPr>
          <w:highlight w:val="none"/>
        </w:rPr>
      </w:r>
    </w:p>
    <w:p>
      <w:pPr>
        <w:pBdr/>
        <w:spacing/>
        <w:ind/>
        <w:rPr>
          <w:highlight w:val="none"/>
        </w:rPr>
      </w:pPr>
      <w:r>
        <w:rPr>
          <w:highlight w:val="none"/>
        </w:rPr>
        <w:t xml:space="preserve">Date: </w:t>
      </w:r>
      <w:r>
        <w:rPr>
          <w:lang w:val="en-US"/>
        </w:rPr>
        <w:fldChar w:fldCharType="begin"/>
        <w:instrText xml:space="preserve">TIME \@ "MMMM d, yyyy"</w:instrText>
        <w:fldChar w:fldCharType="separate"/>
      </w:r>
      <w:r>
        <w:t xml:space="preserve">May 4, 2025</w:t>
      </w:r>
      <w:r>
        <w:fldChar w:fldCharType="end"/>
      </w:r>
      <w:r>
        <w:rPr>
          <w:highlight w:val="none"/>
        </w:rPr>
      </w:r>
      <w:r>
        <w:rPr>
          <w:highlight w:val="none"/>
        </w:rPr>
      </w:r>
    </w:p>
    <w:p>
      <w:pPr>
        <w:pBdr/>
        <w:spacing/>
        <w:ind/>
        <w:rPr>
          <w:highlight w:val="none"/>
        </w:rPr>
      </w:pPr>
      <w:r>
        <w:rPr>
          <w:highlight w:val="none"/>
        </w:rPr>
        <w:t xml:space="preserve">Proposed Course of Action Regarding the PaSCaQL Lab Issues</w:t>
      </w:r>
      <w:r>
        <w:rPr>
          <w:highlight w:val="none"/>
        </w:rPr>
      </w:r>
    </w:p>
    <w:p>
      <w:pPr>
        <w:pBdr/>
        <w:shd w:val="nil"/>
        <w:spacing/>
        <w:ind/>
        <w:rPr/>
      </w:pPr>
      <w:r>
        <w:br w:type="page" w:clear="all"/>
      </w:r>
      <w:r/>
      <w:r/>
      <w:bookmarkStart w:id="29" w:name="X3858b57680fd263aa6b3f1bf7b99916d6da9ab0"/>
      <w:r/>
      <w:r/>
      <w:r/>
    </w:p>
    <w:p>
      <w:pPr>
        <w:pStyle w:val="705"/>
        <w:pBdr/>
        <w:spacing/>
        <w:ind/>
        <w:rPr/>
      </w:pPr>
      <w:r/>
      <w:bookmarkStart w:id="20" w:name="i.-caption"/>
      <w:r>
        <w:t xml:space="preserve">I. CAPTION</w:t>
      </w:r>
      <w:r/>
    </w:p>
    <w:p>
      <w:pPr>
        <w:pStyle w:val="693"/>
        <w:pBdr/>
        <w:spacing/>
        <w:ind/>
        <w:rPr/>
      </w:pPr>
      <w:r>
        <w:t xml:space="preserve">The Sierra Institute of Technology and Science (SITS) has been implicated in several cybersecurity violations, inclu</w:t>
      </w:r>
      <w:r>
        <w:t xml:space="preserve">ding failure to implement required security protocols, misrepresentation of compliance status, and exposure of sensitive data through inadequate security measures. This report outlines the key issues and provides actionable recommendations to address them.</w:t>
      </w:r>
      <w:bookmarkEnd w:id="20"/>
      <w:r/>
    </w:p>
    <w:p>
      <w:pPr>
        <w:pStyle w:val="705"/>
        <w:pBdr/>
        <w:spacing/>
        <w:ind/>
        <w:rPr/>
      </w:pPr>
      <w:r/>
      <w:bookmarkStart w:id="21" w:name="ii.-question-presented"/>
      <w:r>
        <w:t xml:space="preserve">II. QUESTION PRESENTED</w:t>
      </w:r>
      <w:r/>
    </w:p>
    <w:p>
      <w:pPr>
        <w:pStyle w:val="693"/>
        <w:pBdr/>
        <w:spacing/>
        <w:ind/>
        <w:rPr/>
      </w:pPr>
      <w:r>
        <w:t xml:space="preserve">Has SITS and its r</w:t>
      </w:r>
      <w:r>
        <w:t xml:space="preserve">esearchers violated federal cybersecurity regulations by failing to implement necessary security measures, misrepresenting compliance status, and allowing insecure access to classified information, leading to potential data breaches and legal consequences?</w:t>
      </w:r>
      <w:bookmarkEnd w:id="21"/>
      <w:r/>
      <w:r/>
    </w:p>
    <w:p>
      <w:pPr>
        <w:pStyle w:val="705"/>
        <w:pBdr/>
        <w:spacing/>
        <w:ind/>
        <w:rPr/>
      </w:pPr>
      <w:r/>
      <w:bookmarkStart w:id="22" w:name="iii.-brief-answer"/>
      <w:r>
        <w:t xml:space="preserve">III. BRIEF ANSWER</w:t>
      </w:r>
      <w:r/>
    </w:p>
    <w:p>
      <w:pPr>
        <w:pStyle w:val="693"/>
        <w:pBdr/>
        <w:spacing/>
        <w:ind/>
        <w:rPr/>
      </w:pPr>
      <w:r>
        <w:t xml:space="preserve">Yes, SITS has violated federal cybersecurity regulations by failing to implement </w:t>
      </w:r>
      <w:r>
        <w:t xml:space="preserve">a System Security Plan (SSP), inadequate cybersecurity infrastructure, misrepresentation of compliance status, failure to conduct security assessments, and insecure research tools, all of which have exposed sensitive data and compromised national security. Action must be taken in order to avoid heavy fines and possible closure.</w:t>
      </w:r>
      <w:bookmarkEnd w:id="22"/>
      <w:r/>
      <w:r/>
    </w:p>
    <w:p>
      <w:pPr>
        <w:pStyle w:val="705"/>
        <w:pBdr/>
        <w:spacing/>
        <w:ind/>
        <w:rPr/>
      </w:pPr>
      <w:r/>
      <w:bookmarkStart w:id="23" w:name="iv.-facts"/>
      <w:r>
        <w:t xml:space="preserve">IV. FACTS</w:t>
      </w:r>
      <w:r/>
    </w:p>
    <w:p>
      <w:pPr>
        <w:pStyle w:val="694"/>
        <w:pBdr/>
        <w:spacing/>
        <w:ind w:firstLine="0" w:left="0"/>
        <w:rPr/>
      </w:pPr>
      <w:r>
        <w:rPr>
          <w:b/>
          <w:bCs/>
        </w:rPr>
        <w:t xml:space="preserve">1. Failure to Develop and Implement an SSP:</w:t>
      </w:r>
      <w:r>
        <w:t xml:space="preserve"> </w:t>
      </w:r>
      <w:r>
        <w:t xml:space="preserve">SITS did not develop an SSP, a mandated requirement for handling CUI and classified information, leaving their security posture vulnerable.</w:t>
      </w:r>
      <w:r/>
    </w:p>
    <w:p>
      <w:pPr>
        <w:pStyle w:val="694"/>
        <w:pBdr/>
        <w:spacing/>
        <w:ind w:firstLine="0" w:left="0"/>
        <w:rPr/>
      </w:pPr>
      <w:r>
        <w:rPr>
          <w:b/>
          <w:bCs/>
        </w:rPr>
        <w:t xml:space="preserve">2. Inadequate Cybersecurity Infrastructure:</w:t>
      </w:r>
      <w:r>
        <w:t xml:space="preserve"> </w:t>
      </w:r>
      <w:r>
        <w:t xml:space="preserve">PaSCaQL systems lack antivirus software, and researchers use unsecured devices, increasing the risk of data breaches.</w:t>
      </w:r>
      <w:r/>
    </w:p>
    <w:p>
      <w:pPr>
        <w:pStyle w:val="694"/>
        <w:pBdr/>
        <w:spacing/>
        <w:ind w:firstLine="0" w:left="0"/>
        <w:rPr/>
      </w:pPr>
      <w:r>
        <w:rPr>
          <w:b/>
          <w:bCs/>
        </w:rPr>
        <w:t xml:space="preserve">3. Misrepresentation of Compliance Status:</w:t>
      </w:r>
      <w:r>
        <w:t xml:space="preserve"> </w:t>
      </w:r>
      <w:r>
        <w:t xml:space="preserve">SITS submitted misleading compliance scores to secure funding, violating federal regulations and ignoring internal warnings.</w:t>
      </w:r>
      <w:r/>
    </w:p>
    <w:p>
      <w:pPr>
        <w:pStyle w:val="694"/>
        <w:pBdr/>
        <w:spacing/>
        <w:ind w:firstLine="0" w:left="0"/>
        <w:rPr/>
      </w:pPr>
      <w:r>
        <w:rPr>
          <w:b/>
          <w:bCs/>
        </w:rPr>
        <w:t xml:space="preserve">4. Lack of Security Assessments:</w:t>
      </w:r>
      <w:r>
        <w:t xml:space="preserve"> </w:t>
      </w:r>
      <w:r>
        <w:t xml:space="preserve">Mandatory security assessments using DoD tools were not conducted, leaving vulnerabilities exposed.</w:t>
      </w:r>
      <w:r/>
    </w:p>
    <w:p>
      <w:pPr>
        <w:pStyle w:val="694"/>
        <w:pBdr/>
        <w:spacing/>
        <w:ind w:firstLine="0" w:left="0"/>
        <w:rPr/>
      </w:pPr>
      <w:r>
        <w:rPr>
          <w:b/>
          <w:bCs/>
        </w:rPr>
        <w:t xml:space="preserve">5. Insecure Research Tools:</w:t>
      </w:r>
      <w:r>
        <w:t xml:space="preserve"> </w:t>
      </w:r>
      <w:r>
        <w:t xml:space="preserve">Prototypes and devices lacked basic security features, such as secure passwords and encryption, posing easy targets for hackers.</w:t>
      </w:r>
      <w:r/>
    </w:p>
    <w:p>
      <w:pPr>
        <w:pStyle w:val="694"/>
        <w:pBdr/>
        <w:spacing/>
        <w:ind w:firstLine="0" w:left="0"/>
        <w:rPr/>
      </w:pPr>
      <w:r>
        <w:rPr>
          <w:b/>
          <w:bCs/>
        </w:rPr>
        <w:t xml:space="preserve">6. Cyberattack by Conflict-Incognito:</w:t>
      </w:r>
      <w:r>
        <w:t xml:space="preserve"> </w:t>
      </w:r>
      <w:r>
        <w:t xml:space="preserve">A cyberattack exposed classified data, highlighting the consequences of inadequate security measures.</w:t>
      </w:r>
      <w:bookmarkEnd w:id="23"/>
      <w:r/>
      <w:r/>
    </w:p>
    <w:p>
      <w:pPr>
        <w:pStyle w:val="705"/>
        <w:pBdr/>
        <w:spacing/>
        <w:ind/>
        <w:rPr/>
      </w:pPr>
      <w:r/>
      <w:bookmarkStart w:id="26" w:name="v.-discussion"/>
      <w:r>
        <w:t xml:space="preserve">V. DISCUSSION</w:t>
      </w:r>
      <w:r/>
    </w:p>
    <w:p>
      <w:pPr>
        <w:pStyle w:val="693"/>
        <w:pBdr/>
        <w:spacing/>
        <w:ind/>
        <w:rPr/>
      </w:pPr>
      <w:r>
        <w:t xml:space="preserve">Our situation underscores the critical importance of adhering to federal cybersecurity regulations to protect sensitive data, avoid heavy fines and legal action, and maintain national security. The failure to implement necessary security measures, misrepresent compliance st</w:t>
      </w:r>
      <w:r>
        <w:t xml:space="preserve">atus, and allow insecure access has not only exposed sensitive information but also compromised the trust and continuity of SITS’s research programs. This analysis will examine the key issues, using relevant legal cases to provide a framework for analysis.</w:t>
      </w:r>
      <w:bookmarkEnd w:id="24"/>
      <w:r/>
      <w:r/>
    </w:p>
    <w:p>
      <w:pPr>
        <w:pStyle w:val="706"/>
        <w:pBdr/>
        <w:spacing/>
        <w:ind/>
        <w:rPr/>
      </w:pPr>
      <w:r/>
      <w:bookmarkStart w:id="25" w:name="Xdbcd87fd765caf0288b0e55de708340ec04a692"/>
      <w:r>
        <w:t xml:space="preserve">Identified Subissues with CRRACC Analysis</w:t>
      </w:r>
      <w:r/>
    </w:p>
    <w:p>
      <w:pPr>
        <w:pStyle w:val="694"/>
        <w:numPr>
          <w:ilvl w:val="0"/>
          <w:numId w:val="3"/>
        </w:numPr>
        <w:pBdr/>
        <w:spacing/>
        <w:ind/>
        <w:rPr/>
      </w:pPr>
      <w:r>
        <w:rPr>
          <w:b/>
          <w:bCs/>
        </w:rPr>
        <w:t xml:space="preserve">Failure to Develop and Implement an SSP</w:t>
      </w:r>
      <w:r/>
    </w:p>
    <w:p>
      <w:pPr>
        <w:pStyle w:val="694"/>
        <w:numPr>
          <w:ilvl w:val="1"/>
          <w:numId w:val="4"/>
        </w:numPr>
        <w:pBdr/>
        <w:spacing/>
        <w:ind/>
        <w:rPr/>
      </w:pPr>
      <w:r>
        <w:rPr>
          <w:b/>
          <w:bCs/>
        </w:rPr>
        <w:t xml:space="preserve">C (Conclusion):</w:t>
      </w:r>
      <w:r>
        <w:t xml:space="preserve"> </w:t>
      </w:r>
      <w:r>
        <w:t xml:space="preserve">SITS must immediately develop and implement an SSP to meet federal requirements.</w:t>
      </w:r>
      <w:r/>
    </w:p>
    <w:p>
      <w:pPr>
        <w:pStyle w:val="694"/>
        <w:numPr>
          <w:ilvl w:val="1"/>
          <w:numId w:val="4"/>
        </w:numPr>
        <w:pBdr/>
        <w:spacing/>
        <w:ind/>
        <w:rPr/>
      </w:pPr>
      <w:r>
        <w:rPr>
          <w:b/>
          <w:bCs/>
        </w:rPr>
        <w:t xml:space="preserve">R (Relevant Cases):</w:t>
      </w:r>
      <w:r>
        <w:t xml:space="preserve"> </w:t>
      </w:r>
      <w:r>
        <w:t xml:space="preserve">Kansas v. Frontier Telecommunications Company (789 F.7d 747 (10th Cir. 2021)).</w:t>
      </w:r>
      <w:r/>
    </w:p>
    <w:p>
      <w:pPr>
        <w:pStyle w:val="694"/>
        <w:numPr>
          <w:ilvl w:val="1"/>
          <w:numId w:val="4"/>
        </w:numPr>
        <w:pBdr/>
        <w:spacing/>
        <w:ind/>
        <w:rPr/>
      </w:pPr>
      <w:r>
        <w:rPr>
          <w:b/>
          <w:bCs/>
        </w:rPr>
        <w:t xml:space="preserve">R (Explanation):</w:t>
      </w:r>
      <w:r>
        <w:t xml:space="preserve"> </w:t>
      </w:r>
      <w:r>
        <w:t xml:space="preserve">These cases emphasize the mechanisms federal law mandates be in place.</w:t>
      </w:r>
      <w:r/>
    </w:p>
    <w:p>
      <w:pPr>
        <w:pStyle w:val="694"/>
        <w:numPr>
          <w:ilvl w:val="1"/>
          <w:numId w:val="4"/>
        </w:numPr>
        <w:pBdr/>
        <w:spacing/>
        <w:ind/>
        <w:rPr/>
      </w:pPr>
      <w:r>
        <w:rPr>
          <w:b/>
          <w:bCs/>
        </w:rPr>
        <w:t xml:space="preserve">A (Applicable Facts):</w:t>
      </w:r>
      <w:r>
        <w:t xml:space="preserve"> </w:t>
      </w:r>
      <w:r>
        <w:t xml:space="preserve">SITS lacks an SSP, exposing their systems to vulnerabilities.</w:t>
      </w:r>
      <w:r/>
    </w:p>
    <w:p>
      <w:pPr>
        <w:pStyle w:val="694"/>
        <w:numPr>
          <w:ilvl w:val="1"/>
          <w:numId w:val="4"/>
        </w:numPr>
        <w:pBdr/>
        <w:spacing/>
        <w:ind/>
        <w:rPr/>
      </w:pPr>
      <w:r>
        <w:rPr>
          <w:b/>
          <w:bCs/>
        </w:rPr>
        <w:t xml:space="preserve">C (Counterarguments):</w:t>
      </w:r>
      <w:r>
        <w:t xml:space="preserve"> </w:t>
      </w:r>
      <w:r>
        <w:t xml:space="preserve">While developing an SSP is resource-intensive, the cost of non-compliance is higher, including (non-)potential data breaches and legal penalties.</w:t>
      </w:r>
      <w:r/>
    </w:p>
    <w:p>
      <w:pPr>
        <w:pStyle w:val="694"/>
        <w:numPr>
          <w:ilvl w:val="1"/>
          <w:numId w:val="4"/>
        </w:numPr>
        <w:pBdr/>
        <w:spacing/>
        <w:ind/>
        <w:rPr/>
      </w:pPr>
      <w:r>
        <w:rPr>
          <w:b/>
          <w:bCs/>
        </w:rPr>
        <w:t xml:space="preserve">C (Resolution):</w:t>
      </w:r>
      <w:r>
        <w:t xml:space="preserve"> </w:t>
      </w:r>
      <w:r>
        <w:t xml:space="preserve">SSP implementation is mandatory and essential for safeguarding sensitive information.</w:t>
      </w:r>
      <w:r/>
    </w:p>
    <w:p>
      <w:pPr>
        <w:pStyle w:val="694"/>
        <w:numPr>
          <w:ilvl w:val="0"/>
          <w:numId w:val="3"/>
        </w:numPr>
        <w:pBdr/>
        <w:spacing/>
        <w:ind/>
        <w:rPr/>
      </w:pPr>
      <w:r>
        <w:rPr>
          <w:b/>
          <w:bCs/>
        </w:rPr>
        <w:t xml:space="preserve">Inadequate Cybersecurity Infrastructure</w:t>
      </w:r>
      <w:r/>
    </w:p>
    <w:p>
      <w:pPr>
        <w:pStyle w:val="694"/>
        <w:numPr>
          <w:ilvl w:val="1"/>
          <w:numId w:val="5"/>
        </w:numPr>
        <w:pBdr/>
        <w:spacing/>
        <w:ind/>
        <w:rPr/>
      </w:pPr>
      <w:r>
        <w:rPr>
          <w:b/>
          <w:bCs/>
        </w:rPr>
        <w:t xml:space="preserve">C (Conclusion):</w:t>
      </w:r>
      <w:r>
        <w:t xml:space="preserve"> </w:t>
      </w:r>
      <w:r>
        <w:t xml:space="preserve">SITS must upgrade its cybersecurity infrastructure to include antivirus software and secure access controls.</w:t>
      </w:r>
      <w:r/>
    </w:p>
    <w:p>
      <w:pPr>
        <w:pStyle w:val="694"/>
        <w:numPr>
          <w:ilvl w:val="1"/>
          <w:numId w:val="5"/>
        </w:numPr>
        <w:pBdr/>
        <w:spacing/>
        <w:ind/>
        <w:rPr/>
      </w:pPr>
      <w:r>
        <w:rPr>
          <w:b/>
          <w:bCs/>
        </w:rPr>
        <w:t xml:space="preserve">R (Relevant Cases):</w:t>
      </w:r>
      <w:r>
        <w:t xml:space="preserve"> </w:t>
      </w:r>
      <w:r>
        <w:t xml:space="preserve">California v SecureSmart Systems (984 F. Supp. 2d 1123 (C.D. Cal. 2024)); FTC v ByteTech Services (982 F. Supp. 2d 257 (D. Vt. 2024))</w:t>
      </w:r>
      <w:r/>
    </w:p>
    <w:p>
      <w:pPr>
        <w:pStyle w:val="694"/>
        <w:numPr>
          <w:ilvl w:val="1"/>
          <w:numId w:val="5"/>
        </w:numPr>
        <w:pBdr/>
        <w:spacing/>
        <w:ind/>
        <w:rPr/>
      </w:pPr>
      <w:r>
        <w:rPr>
          <w:b/>
          <w:bCs/>
        </w:rPr>
        <w:t xml:space="preserve">R (Explanation):</w:t>
      </w:r>
      <w:r>
        <w:t xml:space="preserve"> </w:t>
      </w:r>
      <w:r>
        <w:t xml:space="preserve">These cases establish the legal requirements for securing sensitive information, and the consequences for failure.</w:t>
      </w:r>
      <w:r/>
    </w:p>
    <w:p>
      <w:pPr>
        <w:pStyle w:val="694"/>
        <w:numPr>
          <w:ilvl w:val="1"/>
          <w:numId w:val="5"/>
        </w:numPr>
        <w:pBdr/>
        <w:spacing/>
        <w:ind/>
        <w:rPr/>
      </w:pPr>
      <w:r>
        <w:rPr>
          <w:b/>
          <w:bCs/>
        </w:rPr>
        <w:t xml:space="preserve">A (Applicable Facts):</w:t>
      </w:r>
      <w:r>
        <w:t xml:space="preserve"> </w:t>
      </w:r>
      <w:r>
        <w:t xml:space="preserve">PaSCaQL systems lack antivirus software and secure access, increasing vulnerability.</w:t>
      </w:r>
      <w:r/>
    </w:p>
    <w:p>
      <w:pPr>
        <w:pStyle w:val="694"/>
        <w:numPr>
          <w:ilvl w:val="1"/>
          <w:numId w:val="5"/>
        </w:numPr>
        <w:pBdr/>
        <w:spacing/>
        <w:ind/>
        <w:rPr/>
      </w:pPr>
      <w:r>
        <w:rPr>
          <w:b/>
          <w:bCs/>
        </w:rPr>
        <w:t xml:space="preserve">C (Counterarguments):</w:t>
      </w:r>
      <w:r>
        <w:t xml:space="preserve"> </w:t>
      </w:r>
      <w:r>
        <w:t xml:space="preserve">Upgrading infrastructure requires resources, but the risk of non-compliance is greater.</w:t>
      </w:r>
      <w:r/>
    </w:p>
    <w:p>
      <w:pPr>
        <w:pStyle w:val="694"/>
        <w:numPr>
          <w:ilvl w:val="1"/>
          <w:numId w:val="5"/>
        </w:numPr>
        <w:pBdr/>
        <w:spacing/>
        <w:ind/>
        <w:rPr/>
      </w:pPr>
      <w:r>
        <w:rPr>
          <w:b/>
          <w:bCs/>
        </w:rPr>
        <w:t xml:space="preserve">C (Resolution):</w:t>
      </w:r>
      <w:r>
        <w:t xml:space="preserve"> </w:t>
      </w:r>
      <w:r>
        <w:t xml:space="preserve">Immediate upgrades are necessary to protect against cyber threats.</w:t>
      </w:r>
      <w:r/>
    </w:p>
    <w:p>
      <w:pPr>
        <w:pStyle w:val="694"/>
        <w:numPr>
          <w:ilvl w:val="0"/>
          <w:numId w:val="3"/>
        </w:numPr>
        <w:pBdr/>
        <w:spacing/>
        <w:ind/>
        <w:rPr/>
      </w:pPr>
      <w:r>
        <w:rPr>
          <w:b/>
          <w:bCs/>
        </w:rPr>
        <w:t xml:space="preserve">Misrepresentation of Compliance Status</w:t>
      </w:r>
      <w:r/>
    </w:p>
    <w:p>
      <w:pPr>
        <w:pStyle w:val="694"/>
        <w:numPr>
          <w:ilvl w:val="1"/>
          <w:numId w:val="6"/>
        </w:numPr>
        <w:pBdr/>
        <w:spacing/>
        <w:ind/>
        <w:rPr/>
      </w:pPr>
      <w:r>
        <w:rPr>
          <w:b/>
          <w:bCs/>
        </w:rPr>
        <w:t xml:space="preserve">C (Conclusion):</w:t>
      </w:r>
      <w:r>
        <w:t xml:space="preserve"> </w:t>
      </w:r>
      <w:r>
        <w:t xml:space="preserve">SITS must ensure accurate compliance reporting to federal authorities.</w:t>
      </w:r>
      <w:r/>
    </w:p>
    <w:p>
      <w:pPr>
        <w:pStyle w:val="694"/>
        <w:numPr>
          <w:ilvl w:val="1"/>
          <w:numId w:val="6"/>
        </w:numPr>
        <w:pBdr/>
        <w:spacing/>
        <w:ind/>
        <w:rPr/>
      </w:pPr>
      <w:r>
        <w:rPr>
          <w:b/>
          <w:bCs/>
        </w:rPr>
        <w:t xml:space="preserve">R (Relevant Cases):</w:t>
      </w:r>
      <w:r>
        <w:t xml:space="preserve"> </w:t>
      </w:r>
      <w:r>
        <w:t xml:space="preserve">United States </w:t>
      </w:r>
      <w:r>
        <w:t xml:space="preserve">v East Winifred University (No. 5:24-cv-0168, 2024 WL 61323481 (W.D. Okla. Sept. 12, 2024); United States v Guidehouse Solutions and RanchoDelta Systems (No. 1:22-cv-335 (S.D. Nev. Jun. 14, 2022)); Vittori v CustomerEase, Inc. (No. 1:24-cv-552 (Wy. 2024)).</w:t>
      </w:r>
      <w:r/>
    </w:p>
    <w:p>
      <w:pPr>
        <w:pStyle w:val="694"/>
        <w:numPr>
          <w:ilvl w:val="1"/>
          <w:numId w:val="6"/>
        </w:numPr>
        <w:pBdr/>
        <w:spacing/>
        <w:ind/>
        <w:rPr/>
      </w:pPr>
      <w:r>
        <w:rPr>
          <w:b/>
          <w:bCs/>
        </w:rPr>
        <w:t xml:space="preserve">R (Explanation):</w:t>
      </w:r>
      <w:r>
        <w:t xml:space="preserve"> </w:t>
      </w:r>
      <w:r>
        <w:t xml:space="preserve">These cases highlight the legal consequences of misrepresenting compliance with federal regulations.</w:t>
      </w:r>
      <w:r/>
    </w:p>
    <w:p>
      <w:pPr>
        <w:pStyle w:val="694"/>
        <w:numPr>
          <w:ilvl w:val="1"/>
          <w:numId w:val="6"/>
        </w:numPr>
        <w:pBdr/>
        <w:spacing/>
        <w:ind/>
        <w:rPr/>
      </w:pPr>
      <w:r>
        <w:rPr>
          <w:b/>
          <w:bCs/>
        </w:rPr>
        <w:t xml:space="preserve">A (Applicable Facts):</w:t>
      </w:r>
      <w:r>
        <w:t xml:space="preserve"> </w:t>
      </w:r>
      <w:r>
        <w:t xml:space="preserve">SITS submitted misleading compliance scores and ignored internal warnings.</w:t>
      </w:r>
      <w:r/>
    </w:p>
    <w:p>
      <w:pPr>
        <w:pStyle w:val="694"/>
        <w:numPr>
          <w:ilvl w:val="1"/>
          <w:numId w:val="6"/>
        </w:numPr>
        <w:pBdr/>
        <w:spacing/>
        <w:ind/>
        <w:rPr/>
      </w:pPr>
      <w:r>
        <w:rPr>
          <w:b/>
          <w:bCs/>
        </w:rPr>
        <w:t xml:space="preserve">C (Counterarguments):</w:t>
      </w:r>
      <w:r>
        <w:t xml:space="preserve"> </w:t>
      </w:r>
      <w:r>
        <w:t xml:space="preserve">Misrepresentation may stem from a lack of understanding of regulations, but intent matters.</w:t>
      </w:r>
      <w:r/>
    </w:p>
    <w:p>
      <w:pPr>
        <w:pStyle w:val="694"/>
        <w:numPr>
          <w:ilvl w:val="1"/>
          <w:numId w:val="6"/>
        </w:numPr>
        <w:pBdr/>
        <w:spacing/>
        <w:ind/>
        <w:rPr/>
      </w:pPr>
      <w:r>
        <w:rPr>
          <w:b/>
          <w:bCs/>
        </w:rPr>
        <w:t xml:space="preserve">C (Resolution):</w:t>
      </w:r>
      <w:r>
        <w:t xml:space="preserve"> </w:t>
      </w:r>
      <w:r>
        <w:t xml:space="preserve">Transparent and accurate compliance reporting is mandatory and must be prioritized.</w:t>
      </w:r>
      <w:r/>
    </w:p>
    <w:p>
      <w:pPr>
        <w:pStyle w:val="694"/>
        <w:numPr>
          <w:ilvl w:val="0"/>
          <w:numId w:val="3"/>
        </w:numPr>
        <w:pBdr/>
        <w:spacing/>
        <w:ind/>
        <w:rPr/>
      </w:pPr>
      <w:r>
        <w:rPr>
          <w:b/>
          <w:bCs/>
        </w:rPr>
        <w:t xml:space="preserve">Failure to Conduct Security Assessments</w:t>
      </w:r>
      <w:r/>
    </w:p>
    <w:p>
      <w:pPr>
        <w:pStyle w:val="694"/>
        <w:numPr>
          <w:ilvl w:val="1"/>
          <w:numId w:val="7"/>
        </w:numPr>
        <w:pBdr/>
        <w:spacing/>
        <w:ind/>
        <w:rPr/>
      </w:pPr>
      <w:r>
        <w:rPr>
          <w:b/>
          <w:bCs/>
        </w:rPr>
        <w:t xml:space="preserve">C (Conclusion):</w:t>
      </w:r>
      <w:r>
        <w:t xml:space="preserve"> </w:t>
      </w:r>
      <w:r>
        <w:t xml:space="preserve">SITS must conduct mandatory security assessments using DoD tools.</w:t>
      </w:r>
      <w:r/>
    </w:p>
    <w:p>
      <w:pPr>
        <w:pStyle w:val="694"/>
        <w:numPr>
          <w:ilvl w:val="1"/>
          <w:numId w:val="7"/>
        </w:numPr>
        <w:pBdr/>
        <w:spacing/>
        <w:ind/>
        <w:rPr/>
      </w:pPr>
      <w:r>
        <w:rPr>
          <w:b/>
          <w:bCs/>
        </w:rPr>
        <w:t xml:space="preserve">R (Relevant Cases):</w:t>
      </w:r>
      <w:r>
        <w:t xml:space="preserve"> </w:t>
      </w:r>
      <w:r>
        <w:t xml:space="preserve">United States v East Winifred University (No. 5:24-cv-0168, 2024 WL 61323481 (W.D. Okla. Sept. 12, 2024).</w:t>
      </w:r>
      <w:r/>
    </w:p>
    <w:p>
      <w:pPr>
        <w:pStyle w:val="694"/>
        <w:numPr>
          <w:ilvl w:val="1"/>
          <w:numId w:val="7"/>
        </w:numPr>
        <w:pBdr/>
        <w:spacing/>
        <w:ind/>
        <w:rPr/>
      </w:pPr>
      <w:r>
        <w:rPr>
          <w:b/>
          <w:bCs/>
        </w:rPr>
        <w:t xml:space="preserve">R (Explanation):</w:t>
      </w:r>
      <w:r>
        <w:t xml:space="preserve"> </w:t>
      </w:r>
      <w:r>
        <w:t xml:space="preserve">These cases exemplify the consequences of failing to comply with existing assessment requirements.</w:t>
      </w:r>
      <w:r/>
    </w:p>
    <w:p>
      <w:pPr>
        <w:pStyle w:val="694"/>
        <w:numPr>
          <w:ilvl w:val="1"/>
          <w:numId w:val="7"/>
        </w:numPr>
        <w:pBdr/>
        <w:spacing/>
        <w:ind/>
        <w:rPr/>
      </w:pPr>
      <w:r>
        <w:rPr>
          <w:b/>
          <w:bCs/>
        </w:rPr>
        <w:t xml:space="preserve">A (Applicable Facts):</w:t>
      </w:r>
      <w:r>
        <w:t xml:space="preserve"> </w:t>
      </w:r>
      <w:r>
        <w:t xml:space="preserve">PaSCaQL failed to conduct required security assessments, leaving vulnerabilities.</w:t>
      </w:r>
      <w:r/>
    </w:p>
    <w:p>
      <w:pPr>
        <w:pStyle w:val="694"/>
        <w:numPr>
          <w:ilvl w:val="1"/>
          <w:numId w:val="7"/>
        </w:numPr>
        <w:pBdr/>
        <w:spacing/>
        <w:ind/>
        <w:rPr/>
      </w:pPr>
      <w:r>
        <w:rPr>
          <w:b/>
          <w:bCs/>
        </w:rPr>
        <w:t xml:space="preserve">C (Counterarguments):</w:t>
      </w:r>
      <w:r>
        <w:t xml:space="preserve"> </w:t>
      </w:r>
      <w:r>
        <w:t xml:space="preserve">Assessments may be resource-intensive, but they are critical for compliance.</w:t>
      </w:r>
      <w:r/>
    </w:p>
    <w:p>
      <w:pPr>
        <w:pStyle w:val="694"/>
        <w:numPr>
          <w:ilvl w:val="1"/>
          <w:numId w:val="7"/>
        </w:numPr>
        <w:pBdr/>
        <w:spacing/>
        <w:ind/>
        <w:rPr/>
      </w:pPr>
      <w:r>
        <w:rPr>
          <w:b/>
          <w:bCs/>
        </w:rPr>
        <w:t xml:space="preserve">C (Resolution):</w:t>
      </w:r>
      <w:r>
        <w:t xml:space="preserve"> </w:t>
      </w:r>
      <w:r>
        <w:t xml:space="preserve">Regular and thorough security assessments must be prioritized to identify and mitigate risks.</w:t>
      </w:r>
      <w:r/>
    </w:p>
    <w:p>
      <w:pPr>
        <w:pStyle w:val="694"/>
        <w:numPr>
          <w:ilvl w:val="0"/>
          <w:numId w:val="3"/>
        </w:numPr>
        <w:pBdr/>
        <w:spacing/>
        <w:ind/>
        <w:rPr/>
      </w:pPr>
      <w:r>
        <w:rPr>
          <w:b/>
          <w:bCs/>
        </w:rPr>
        <w:t xml:space="preserve">Insecure Research Tools</w:t>
      </w:r>
      <w:r/>
    </w:p>
    <w:p>
      <w:pPr>
        <w:pStyle w:val="694"/>
        <w:numPr>
          <w:ilvl w:val="1"/>
          <w:numId w:val="8"/>
        </w:numPr>
        <w:pBdr/>
        <w:spacing/>
        <w:ind/>
        <w:rPr/>
      </w:pPr>
      <w:r>
        <w:rPr>
          <w:b/>
          <w:bCs/>
        </w:rPr>
        <w:t xml:space="preserve">C (Conclusion):</w:t>
      </w:r>
      <w:r>
        <w:t xml:space="preserve"> </w:t>
      </w:r>
      <w:r>
        <w:t xml:space="preserve">SITS must ensure all research tools and devices meet federal security standards.</w:t>
      </w:r>
      <w:r/>
    </w:p>
    <w:p>
      <w:pPr>
        <w:pStyle w:val="694"/>
        <w:numPr>
          <w:ilvl w:val="1"/>
          <w:numId w:val="8"/>
        </w:numPr>
        <w:pBdr/>
        <w:spacing/>
        <w:ind/>
        <w:rPr/>
      </w:pPr>
      <w:r>
        <w:rPr>
          <w:b/>
          <w:bCs/>
        </w:rPr>
        <w:t xml:space="preserve">R (Relevant Cases):</w:t>
      </w:r>
      <w:r>
        <w:t xml:space="preserve"> </w:t>
      </w:r>
      <w:r>
        <w:t xml:space="preserve">United States v Musk (194 S. Ct. 612 (2022)).</w:t>
      </w:r>
      <w:r/>
    </w:p>
    <w:p>
      <w:pPr>
        <w:pStyle w:val="694"/>
        <w:numPr>
          <w:ilvl w:val="1"/>
          <w:numId w:val="8"/>
        </w:numPr>
        <w:pBdr/>
        <w:spacing/>
        <w:ind/>
        <w:rPr/>
      </w:pPr>
      <w:r>
        <w:rPr>
          <w:b/>
          <w:bCs/>
        </w:rPr>
        <w:t xml:space="preserve">R (Explanation):</w:t>
      </w:r>
      <w:r>
        <w:t xml:space="preserve"> </w:t>
      </w:r>
      <w:r>
        <w:t xml:space="preserve">These cases emphasize the importance of securing tools used for sensitive research and the danger of mishandling sensitive data.</w:t>
      </w:r>
      <w:r/>
    </w:p>
    <w:p>
      <w:pPr>
        <w:pStyle w:val="694"/>
        <w:numPr>
          <w:ilvl w:val="1"/>
          <w:numId w:val="8"/>
        </w:numPr>
        <w:pBdr/>
        <w:spacing/>
        <w:ind/>
        <w:rPr/>
      </w:pPr>
      <w:r>
        <w:rPr>
          <w:b/>
          <w:bCs/>
        </w:rPr>
        <w:t xml:space="preserve">A (Applicable Facts):</w:t>
      </w:r>
      <w:r>
        <w:t xml:space="preserve"> </w:t>
      </w:r>
      <w:r>
        <w:t xml:space="preserve">Prototypes and devices lacked basic security features.</w:t>
      </w:r>
      <w:r/>
    </w:p>
    <w:p>
      <w:pPr>
        <w:pStyle w:val="694"/>
        <w:numPr>
          <w:ilvl w:val="1"/>
          <w:numId w:val="8"/>
        </w:numPr>
        <w:pBdr/>
        <w:spacing/>
        <w:ind/>
        <w:rPr/>
      </w:pPr>
      <w:r>
        <w:rPr>
          <w:b/>
          <w:bCs/>
        </w:rPr>
        <w:t xml:space="preserve">C (Counterarguments):</w:t>
      </w:r>
      <w:r>
        <w:t xml:space="preserve"> </w:t>
      </w:r>
      <w:r>
        <w:t xml:space="preserve">Secure tools may require additional resources, but the cost of non-compliance is higher.</w:t>
      </w:r>
      <w:r/>
    </w:p>
    <w:p>
      <w:pPr>
        <w:pStyle w:val="694"/>
        <w:numPr>
          <w:ilvl w:val="1"/>
          <w:numId w:val="8"/>
        </w:numPr>
        <w:pBdr/>
        <w:spacing/>
        <w:ind/>
        <w:rPr/>
      </w:pPr>
      <w:r>
        <w:rPr>
          <w:b/>
          <w:bCs/>
        </w:rPr>
        <w:t xml:space="preserve">C (Resolution):</w:t>
      </w:r>
      <w:r>
        <w:t xml:space="preserve"> </w:t>
      </w:r>
      <w:r>
        <w:t xml:space="preserve">Secure all research tools to prevent data exposure.</w:t>
      </w:r>
      <w:r/>
    </w:p>
    <w:p>
      <w:pPr>
        <w:pStyle w:val="694"/>
        <w:numPr>
          <w:ilvl w:val="0"/>
          <w:numId w:val="3"/>
        </w:numPr>
        <w:pBdr/>
        <w:spacing/>
        <w:ind/>
        <w:rPr/>
      </w:pPr>
      <w:r>
        <w:rPr>
          <w:b/>
          <w:bCs/>
        </w:rPr>
        <w:t xml:space="preserve">Cyberattack by Conflict-Incognito</w:t>
      </w:r>
      <w:r/>
    </w:p>
    <w:p>
      <w:pPr>
        <w:pStyle w:val="694"/>
        <w:numPr>
          <w:ilvl w:val="1"/>
          <w:numId w:val="9"/>
        </w:numPr>
        <w:pBdr/>
        <w:spacing/>
        <w:ind/>
        <w:rPr/>
      </w:pPr>
      <w:r>
        <w:rPr>
          <w:b/>
          <w:bCs/>
        </w:rPr>
        <w:t xml:space="preserve">C (Conclusion):</w:t>
      </w:r>
      <w:r>
        <w:t xml:space="preserve"> </w:t>
      </w:r>
      <w:r>
        <w:t xml:space="preserve">SITS must enhance cybersecurity measures to prevent and mitigate cyberattacks.</w:t>
      </w:r>
      <w:r/>
    </w:p>
    <w:p>
      <w:pPr>
        <w:pStyle w:val="694"/>
        <w:numPr>
          <w:ilvl w:val="1"/>
          <w:numId w:val="9"/>
        </w:numPr>
        <w:pBdr/>
        <w:spacing/>
        <w:ind/>
        <w:rPr/>
      </w:pPr>
      <w:r>
        <w:rPr>
          <w:b/>
          <w:bCs/>
        </w:rPr>
        <w:t xml:space="preserve">R (Relevant Cases):</w:t>
      </w:r>
      <w:r>
        <w:t xml:space="preserve"> </w:t>
      </w:r>
      <w:r>
        <w:t xml:space="preserve">Digital Horizons LLC v PhantomTech Entertainment (759 F. Supp. 3d 874 (N.D. Cal. 2010); United States v Guidehouse Solutions and RanchoDelta Systems (No. 1:22-cv-335 (S.D. Nev. Jun. 14, 2022)).</w:t>
      </w:r>
      <w:r/>
    </w:p>
    <w:p>
      <w:pPr>
        <w:pStyle w:val="694"/>
        <w:numPr>
          <w:ilvl w:val="1"/>
          <w:numId w:val="9"/>
        </w:numPr>
        <w:pBdr/>
        <w:spacing/>
        <w:ind/>
        <w:rPr/>
      </w:pPr>
      <w:r>
        <w:rPr>
          <w:b/>
          <w:bCs/>
        </w:rPr>
        <w:t xml:space="preserve">R (Explanation):</w:t>
      </w:r>
      <w:r>
        <w:t xml:space="preserve"> </w:t>
      </w:r>
      <w:r>
        <w:t xml:space="preserve">These cases illustrate the courts tendency to weigh the damage done in its verdict.</w:t>
      </w:r>
      <w:r/>
    </w:p>
    <w:p>
      <w:pPr>
        <w:pStyle w:val="694"/>
        <w:numPr>
          <w:ilvl w:val="1"/>
          <w:numId w:val="9"/>
        </w:numPr>
        <w:pBdr/>
        <w:spacing/>
        <w:ind/>
        <w:rPr/>
      </w:pPr>
      <w:r>
        <w:rPr>
          <w:b/>
          <w:bCs/>
        </w:rPr>
        <w:t xml:space="preserve">A (Applicable Facts):</w:t>
      </w:r>
      <w:r>
        <w:t xml:space="preserve"> </w:t>
      </w:r>
      <w:r>
        <w:t xml:space="preserve">A cyberattack exposed classified data, underscoring vulnerabilities.</w:t>
      </w:r>
      <w:r/>
    </w:p>
    <w:p>
      <w:pPr>
        <w:pStyle w:val="694"/>
        <w:numPr>
          <w:ilvl w:val="1"/>
          <w:numId w:val="9"/>
        </w:numPr>
        <w:pBdr/>
        <w:spacing/>
        <w:ind/>
        <w:rPr/>
      </w:pPr>
      <w:r>
        <w:rPr>
          <w:b/>
          <w:bCs/>
        </w:rPr>
        <w:t xml:space="preserve">C (Counterarguments):</w:t>
      </w:r>
      <w:r>
        <w:t xml:space="preserve"> </w:t>
      </w:r>
      <w:r>
        <w:t xml:space="preserve">Addressing cyber threats requires ongoing efforts and resources.</w:t>
      </w:r>
      <w:r/>
    </w:p>
    <w:p>
      <w:pPr>
        <w:pStyle w:val="694"/>
        <w:numPr>
          <w:ilvl w:val="1"/>
          <w:numId w:val="9"/>
        </w:numPr>
        <w:pBdr/>
        <w:spacing/>
        <w:ind/>
        <w:rPr/>
      </w:pPr>
      <w:r>
        <w:rPr>
          <w:b/>
          <w:bCs/>
        </w:rPr>
        <w:t xml:space="preserve">C (Resolution):</w:t>
      </w:r>
      <w:r>
        <w:t xml:space="preserve"> </w:t>
      </w:r>
      <w:r>
        <w:t xml:space="preserve">Implementing robust cybersecurity measures is essential to prevent future breaches.</w:t>
      </w:r>
      <w:bookmarkEnd w:id="25"/>
      <w:bookmarkEnd w:id="26"/>
      <w:r/>
    </w:p>
    <w:p>
      <w:pPr>
        <w:pStyle w:val="705"/>
        <w:pBdr/>
        <w:spacing/>
        <w:ind/>
        <w:rPr/>
      </w:pPr>
      <w:r/>
      <w:bookmarkStart w:id="28" w:name="vi.-conclusion"/>
      <w:r>
        <w:t xml:space="preserve">VI. Conclusion</w:t>
      </w:r>
      <w:r/>
    </w:p>
    <w:p>
      <w:pPr>
        <w:pStyle w:val="693"/>
        <w:pBdr/>
        <w:spacing/>
        <w:ind/>
        <w:rPr/>
      </w:pPr>
      <w:r>
        <w:t xml:space="preserve">The cybersecurity violations at SITS pose a significant risk to national security and federal compliance. The failure to imple</w:t>
      </w:r>
      <w:r>
        <w:t xml:space="preserve">ment required security measures, misrepresent compliance status, and allow insecure access has exposed sensitive data and compromised trust in SITS’s operations. Immediate and decisive action is necessary to address these issues and mitigate further risks.</w:t>
      </w:r>
      <w:r/>
    </w:p>
    <w:p>
      <w:pPr>
        <w:pStyle w:val="706"/>
        <w:pBdr/>
        <w:spacing/>
        <w:ind/>
        <w:rPr/>
      </w:pPr>
      <w:r/>
      <w:bookmarkStart w:id="27" w:name="key-recommendations"/>
      <w:r>
        <w:t xml:space="preserve">Key Recommendations:</w:t>
      </w:r>
      <w:r/>
    </w:p>
    <w:p>
      <w:pPr>
        <w:pStyle w:val="694"/>
        <w:numPr>
          <w:ilvl w:val="0"/>
          <w:numId w:val="10"/>
        </w:numPr>
        <w:pBdr/>
        <w:spacing/>
        <w:ind/>
        <w:rPr/>
      </w:pPr>
      <w:r>
        <w:t xml:space="preserve">Develop and implement a comprehensive</w:t>
      </w:r>
      <w:r>
        <w:t xml:space="preserve"> </w:t>
      </w:r>
      <w:r>
        <w:rPr>
          <w:b/>
          <w:bCs/>
        </w:rPr>
        <w:t xml:space="preserve">System Security Plan (SSP)</w:t>
      </w:r>
      <w:r>
        <w:t xml:space="preserve"> </w:t>
      </w:r>
      <w:r>
        <w:t xml:space="preserve">to align with federal requirements.</w:t>
      </w:r>
      <w:r/>
    </w:p>
    <w:p>
      <w:pPr>
        <w:pStyle w:val="694"/>
        <w:numPr>
          <w:ilvl w:val="0"/>
          <w:numId w:val="10"/>
        </w:numPr>
        <w:pBdr/>
        <w:spacing/>
        <w:ind/>
        <w:rPr/>
      </w:pPr>
      <w:r>
        <w:t xml:space="preserve">Upgrade cybersecurity infrastructure to include antivirus software, secure access controls, and multi-factor authentication (MFA).</w:t>
      </w:r>
      <w:r/>
    </w:p>
    <w:p>
      <w:pPr>
        <w:pStyle w:val="694"/>
        <w:numPr>
          <w:ilvl w:val="0"/>
          <w:numId w:val="10"/>
        </w:numPr>
        <w:pBdr/>
        <w:spacing/>
        <w:ind/>
        <w:rPr/>
      </w:pPr>
      <w:r>
        <w:t xml:space="preserve">Ensure accurate and transparent compliance reporting to federal authorities.</w:t>
      </w:r>
      <w:r/>
    </w:p>
    <w:p>
      <w:pPr>
        <w:pStyle w:val="694"/>
        <w:numPr>
          <w:ilvl w:val="0"/>
          <w:numId w:val="10"/>
        </w:numPr>
        <w:pBdr/>
        <w:spacing/>
        <w:ind/>
        <w:rPr/>
      </w:pPr>
      <w:r>
        <w:t xml:space="preserve">Conduct mandatory security assessments using DoD-prescribed tools to identify and address vulnerabilities.</w:t>
      </w:r>
      <w:r/>
    </w:p>
    <w:p>
      <w:pPr>
        <w:pStyle w:val="694"/>
        <w:numPr>
          <w:ilvl w:val="0"/>
          <w:numId w:val="10"/>
        </w:numPr>
        <w:pBdr/>
        <w:spacing/>
        <w:ind/>
        <w:rPr/>
      </w:pPr>
      <w:r>
        <w:t xml:space="preserve">Secure all research tools and devices to meet federal standards and prevent data exposure.</w:t>
      </w:r>
      <w:r/>
    </w:p>
    <w:p>
      <w:pPr>
        <w:pStyle w:val="694"/>
        <w:numPr>
          <w:ilvl w:val="0"/>
          <w:numId w:val="10"/>
        </w:numPr>
        <w:pBdr/>
        <w:spacing/>
        <w:ind/>
        <w:rPr/>
      </w:pPr>
      <w:r>
        <w:t xml:space="preserve">Enhance cybersecurity measures to prevent and mitigate cyberattacks.</w:t>
      </w:r>
      <w:r/>
    </w:p>
    <w:p>
      <w:pPr>
        <w:pStyle w:val="693"/>
        <w:pBdr/>
        <w:spacing/>
        <w:ind/>
        <w:rPr/>
      </w:pPr>
      <w:r>
        <w:t xml:space="preserve">By taking these steps, SITS can restore its compliance posture, avoid penalties, and protect sensitive data. Proactive measures are no longer optional but are vital to preventing fu</w:t>
      </w:r>
      <w:r>
        <w:t xml:space="preserve">ture breaches and safeguarding national security. Collaboration between SITS leadership, the Office of General Counsel (OGC), and federal authorities is essential to navigate this complex situation and ensure the continued success of its research programs.</w:t>
      </w:r>
      <w:r/>
    </w:p>
    <w:p>
      <w:pPr>
        <w:pStyle w:val="692"/>
        <w:pBdr/>
        <w:spacing/>
        <w:ind/>
        <w:rPr/>
      </w:pPr>
      <w:r>
        <w:t xml:space="preserve">Immediate action is required to address these issues and avoid further legal and financial repercussions.</w:t>
      </w:r>
      <w:bookmarkEnd w:id="27"/>
      <w:bookmarkEnd w:id="28"/>
      <w:bookmarkEnd w:id="29"/>
      <w:r/>
    </w:p>
    <w:sectPr>
      <w:footnotePr>
        <w:numRestart w:val="eachSect"/>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Consola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abstractNum w:abstractNumId="1">
    <w:lvl w:ilvl="0">
      <w:isLgl w:val="false"/>
      <w:lvlJc w:val="left"/>
      <w:lvlText w:val=""/>
      <w:numFmt w:val="bullet"/>
      <w:pPr>
        <w:pBdr/>
        <w:spacing/>
        <w:ind w:hanging="360" w:left="720"/>
      </w:pPr>
      <w:rPr>
        <w:rFonts w:hint="default" w:ascii="Symbol" w:hAnsi="Symbol" w:cs="Symbol"/>
      </w:rPr>
      <w:start w:val="0"/>
      <w:suff w:val="tab"/>
    </w:lvl>
    <w:lvl w:ilvl="1">
      <w:isLgl w:val="false"/>
      <w:lvlJc w:val="left"/>
      <w:lvlText w:val="o"/>
      <w:numFmt w:val="bullet"/>
      <w:pPr>
        <w:pBdr/>
        <w:spacing/>
        <w:ind w:hanging="360" w:left="1440"/>
      </w:pPr>
      <w:rPr>
        <w:rFonts w:hint="default" w:ascii="Courier New" w:hAnsi="Courier New" w:cs="Courier New"/>
      </w:rPr>
      <w:start w:val="0"/>
      <w:suff w:val="tab"/>
    </w:lvl>
    <w:lvl w:ilvl="2">
      <w:isLgl w:val="false"/>
      <w:lvlJc w:val="left"/>
      <w:lvlText w:val=""/>
      <w:numFmt w:val="bullet"/>
      <w:pPr>
        <w:pBdr/>
        <w:spacing/>
        <w:ind w:hanging="360" w:left="2160"/>
      </w:pPr>
      <w:rPr>
        <w:rFonts w:hint="default" w:ascii="Wingdings" w:hAnsi="Wingdings" w:cs="Wingdings"/>
      </w:rPr>
      <w:start w:val="0"/>
      <w:suff w:val="tab"/>
    </w:lvl>
    <w:lvl w:ilvl="3">
      <w:isLgl w:val="false"/>
      <w:lvlJc w:val="left"/>
      <w:lvlText w:val=""/>
      <w:numFmt w:val="bullet"/>
      <w:pPr>
        <w:pBdr/>
        <w:spacing/>
        <w:ind w:hanging="360" w:left="2880"/>
      </w:pPr>
      <w:rPr>
        <w:rFonts w:hint="default" w:ascii="Symbol" w:hAnsi="Symbol" w:cs="Symbol"/>
      </w:rPr>
      <w:start w:val="0"/>
      <w:suff w:val="tab"/>
    </w:lvl>
    <w:lvl w:ilvl="4">
      <w:isLgl w:val="false"/>
      <w:lvlJc w:val="left"/>
      <w:lvlText w:val="o"/>
      <w:numFmt w:val="bullet"/>
      <w:pPr>
        <w:pBdr/>
        <w:spacing/>
        <w:ind w:hanging="360" w:left="3600"/>
      </w:pPr>
      <w:rPr>
        <w:rFonts w:hint="default" w:ascii="Courier New" w:hAnsi="Courier New" w:cs="Courier New"/>
      </w:rPr>
      <w:start w:val="0"/>
      <w:suff w:val="tab"/>
    </w:lvl>
    <w:lvl w:ilvl="5">
      <w:isLgl w:val="false"/>
      <w:lvlJc w:val="left"/>
      <w:lvlText w:val=""/>
      <w:numFmt w:val="bullet"/>
      <w:pPr>
        <w:pBdr/>
        <w:spacing/>
        <w:ind w:hanging="360" w:left="4320"/>
      </w:pPr>
      <w:rPr>
        <w:rFonts w:hint="default" w:ascii="Wingdings" w:hAnsi="Wingdings" w:cs="Wingdings"/>
      </w:rPr>
      <w:start w:val="0"/>
      <w:suff w:val="tab"/>
    </w:lvl>
    <w:lvl w:ilvl="6">
      <w:isLgl w:val="false"/>
      <w:lvlJc w:val="left"/>
      <w:lvlText w:val=""/>
      <w:numFmt w:val="bullet"/>
      <w:pPr>
        <w:pBdr/>
        <w:spacing/>
        <w:ind w:hanging="360" w:left="5040"/>
      </w:pPr>
      <w:rPr>
        <w:rFonts w:hint="default" w:ascii="Symbol" w:hAnsi="Symbol" w:cs="Symbol"/>
      </w:rPr>
      <w:start w:val="0"/>
      <w:suff w:val="tab"/>
    </w:lvl>
    <w:lvl w:ilvl="7">
      <w:isLgl w:val="false"/>
      <w:lvlJc w:val="left"/>
      <w:lvlText w:val="o"/>
      <w:numFmt w:val="bullet"/>
      <w:pPr>
        <w:pBdr/>
        <w:spacing/>
        <w:ind w:hanging="360" w:left="5760"/>
      </w:pPr>
      <w:rPr>
        <w:rFonts w:hint="default" w:ascii="Courier New" w:hAnsi="Courier New" w:cs="Courier New"/>
      </w:rPr>
      <w:start w:val="0"/>
      <w:suff w:val="tab"/>
    </w:lvl>
    <w:lvl w:ilvl="8">
      <w:isLgl w:val="false"/>
      <w:lvlJc w:val="left"/>
      <w:lvlText w:val=""/>
      <w:numFmt w:val="bullet"/>
      <w:pPr>
        <w:pBdr/>
        <w:spacing/>
        <w:ind w:hanging="360" w:left="6480"/>
      </w:pPr>
      <w:rPr>
        <w:rFonts w:hint="default" w:ascii="Wingdings" w:hAnsi="Wingdings" w:cs="Wingdings"/>
      </w:rPr>
      <w:start w:val="0"/>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start w:val="1"/>
      <w:suff w:val="tab"/>
    </w:lvl>
    <w:lvl w:ilvl="2">
      <w:isLgl w:val="false"/>
      <w:lvlJc w:val="left"/>
      <w:lvlText w:val="%3."/>
      <w:numFmt w:val="decimal"/>
      <w:pPr>
        <w:pBdr/>
        <w:spacing/>
        <w:ind w:hanging="36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paragraph" w:styleId="162">
    <w:name w:val="Quote"/>
    <w:basedOn w:val="691"/>
    <w:next w:val="691"/>
    <w:link w:val="163"/>
    <w:uiPriority w:val="29"/>
    <w:qFormat/>
    <w:pPr>
      <w:pBdr/>
      <w:spacing w:before="160"/>
      <w:ind/>
      <w:jc w:val="center"/>
    </w:pPr>
    <w:rPr>
      <w:i/>
      <w:iCs/>
      <w:color w:val="404040" w:themeColor="text1" w:themeTint="BF"/>
    </w:rPr>
  </w:style>
  <w:style w:type="character" w:styleId="163">
    <w:name w:val="Quote Char"/>
    <w:basedOn w:val="725"/>
    <w:link w:val="162"/>
    <w:uiPriority w:val="29"/>
    <w:pPr>
      <w:pBdr/>
      <w:spacing/>
      <w:ind/>
    </w:pPr>
    <w:rPr>
      <w:i/>
      <w:iCs/>
      <w:color w:val="404040" w:themeColor="text1" w:themeTint="BF"/>
    </w:rPr>
  </w:style>
  <w:style w:type="paragraph" w:styleId="164">
    <w:name w:val="List Paragraph"/>
    <w:basedOn w:val="691"/>
    <w:uiPriority w:val="34"/>
    <w:qFormat/>
    <w:pPr>
      <w:pBdr/>
      <w:spacing/>
      <w:ind w:left="720"/>
      <w:contextualSpacing w:val="true"/>
    </w:pPr>
  </w:style>
  <w:style w:type="character" w:styleId="165">
    <w:name w:val="Intense Emphasis"/>
    <w:basedOn w:val="725"/>
    <w:uiPriority w:val="21"/>
    <w:qFormat/>
    <w:pPr>
      <w:pBdr/>
      <w:spacing/>
      <w:ind/>
    </w:pPr>
    <w:rPr>
      <w:i/>
      <w:iCs/>
      <w:color w:val="0f4761" w:themeColor="accent1" w:themeShade="BF"/>
    </w:rPr>
  </w:style>
  <w:style w:type="paragraph" w:styleId="166">
    <w:name w:val="Intense Quote"/>
    <w:basedOn w:val="691"/>
    <w:next w:val="69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25"/>
    <w:link w:val="166"/>
    <w:uiPriority w:val="30"/>
    <w:pPr>
      <w:pBdr/>
      <w:spacing/>
      <w:ind/>
    </w:pPr>
    <w:rPr>
      <w:i/>
      <w:iCs/>
      <w:color w:val="0f4761" w:themeColor="accent1" w:themeShade="BF"/>
    </w:rPr>
  </w:style>
  <w:style w:type="character" w:styleId="168">
    <w:name w:val="Intense Reference"/>
    <w:basedOn w:val="725"/>
    <w:uiPriority w:val="32"/>
    <w:qFormat/>
    <w:pPr>
      <w:pBdr/>
      <w:spacing/>
      <w:ind/>
    </w:pPr>
    <w:rPr>
      <w:b/>
      <w:bCs/>
      <w:smallCaps/>
      <w:color w:val="0f4761" w:themeColor="accent1" w:themeShade="BF"/>
      <w:spacing w:val="5"/>
    </w:rPr>
  </w:style>
  <w:style w:type="paragraph" w:styleId="169">
    <w:name w:val="No Spacing"/>
    <w:basedOn w:val="691"/>
    <w:uiPriority w:val="1"/>
    <w:qFormat/>
    <w:pPr>
      <w:pBdr/>
      <w:spacing w:after="0" w:line="240" w:lineRule="auto"/>
      <w:ind/>
    </w:pPr>
  </w:style>
  <w:style w:type="character" w:styleId="170">
    <w:name w:val="Subtle Emphasis"/>
    <w:basedOn w:val="725"/>
    <w:uiPriority w:val="19"/>
    <w:qFormat/>
    <w:pPr>
      <w:pBdr/>
      <w:spacing/>
      <w:ind/>
    </w:pPr>
    <w:rPr>
      <w:i/>
      <w:iCs/>
      <w:color w:val="404040" w:themeColor="text1" w:themeTint="BF"/>
    </w:rPr>
  </w:style>
  <w:style w:type="character" w:styleId="171">
    <w:name w:val="Emphasis"/>
    <w:basedOn w:val="725"/>
    <w:uiPriority w:val="20"/>
    <w:qFormat/>
    <w:pPr>
      <w:pBdr/>
      <w:spacing/>
      <w:ind/>
    </w:pPr>
    <w:rPr>
      <w:i/>
      <w:iCs/>
    </w:rPr>
  </w:style>
  <w:style w:type="character" w:styleId="172">
    <w:name w:val="Strong"/>
    <w:basedOn w:val="725"/>
    <w:uiPriority w:val="22"/>
    <w:qFormat/>
    <w:pPr>
      <w:pBdr/>
      <w:spacing/>
      <w:ind/>
    </w:pPr>
    <w:rPr>
      <w:b/>
      <w:bCs/>
    </w:rPr>
  </w:style>
  <w:style w:type="character" w:styleId="173">
    <w:name w:val="Subtle Reference"/>
    <w:basedOn w:val="725"/>
    <w:uiPriority w:val="31"/>
    <w:qFormat/>
    <w:pPr>
      <w:pBdr/>
      <w:spacing/>
      <w:ind/>
    </w:pPr>
    <w:rPr>
      <w:smallCaps/>
      <w:color w:val="5a5a5a" w:themeColor="text1" w:themeTint="A5"/>
    </w:rPr>
  </w:style>
  <w:style w:type="character" w:styleId="174">
    <w:name w:val="Book Title"/>
    <w:basedOn w:val="725"/>
    <w:uiPriority w:val="33"/>
    <w:qFormat/>
    <w:pPr>
      <w:pBdr/>
      <w:spacing/>
      <w:ind/>
    </w:pPr>
    <w:rPr>
      <w:b/>
      <w:bCs/>
      <w:i/>
      <w:iCs/>
      <w:spacing w:val="5"/>
    </w:rPr>
  </w:style>
  <w:style w:type="paragraph" w:styleId="175">
    <w:name w:val="Header"/>
    <w:basedOn w:val="691"/>
    <w:link w:val="176"/>
    <w:uiPriority w:val="99"/>
    <w:unhideWhenUsed/>
    <w:pPr>
      <w:pBdr/>
      <w:tabs>
        <w:tab w:val="center" w:leader="none" w:pos="4844"/>
        <w:tab w:val="right" w:leader="none" w:pos="9689"/>
      </w:tabs>
      <w:spacing w:after="0" w:line="240" w:lineRule="auto"/>
      <w:ind/>
    </w:pPr>
  </w:style>
  <w:style w:type="character" w:styleId="176">
    <w:name w:val="Header Char"/>
    <w:basedOn w:val="725"/>
    <w:link w:val="175"/>
    <w:uiPriority w:val="99"/>
    <w:pPr>
      <w:pBdr/>
      <w:spacing/>
      <w:ind/>
    </w:pPr>
  </w:style>
  <w:style w:type="paragraph" w:styleId="177">
    <w:name w:val="Footer"/>
    <w:basedOn w:val="691"/>
    <w:link w:val="178"/>
    <w:uiPriority w:val="99"/>
    <w:unhideWhenUsed/>
    <w:pPr>
      <w:pBdr/>
      <w:tabs>
        <w:tab w:val="center" w:leader="none" w:pos="4844"/>
        <w:tab w:val="right" w:leader="none" w:pos="9689"/>
      </w:tabs>
      <w:spacing w:after="0" w:line="240" w:lineRule="auto"/>
      <w:ind/>
    </w:pPr>
  </w:style>
  <w:style w:type="character" w:styleId="178">
    <w:name w:val="Footer Char"/>
    <w:basedOn w:val="725"/>
    <w:link w:val="177"/>
    <w:uiPriority w:val="99"/>
    <w:pPr>
      <w:pBdr/>
      <w:spacing/>
      <w:ind/>
    </w:pPr>
  </w:style>
  <w:style w:type="character" w:styleId="181">
    <w:name w:val="Footnote Text Char"/>
    <w:basedOn w:val="725"/>
    <w:link w:val="723"/>
    <w:uiPriority w:val="99"/>
    <w:semiHidden/>
    <w:pPr>
      <w:pBdr/>
      <w:spacing/>
      <w:ind/>
    </w:pPr>
    <w:rPr>
      <w:sz w:val="20"/>
      <w:szCs w:val="20"/>
    </w:rPr>
  </w:style>
  <w:style w:type="paragraph" w:styleId="183">
    <w:name w:val="endnote text"/>
    <w:basedOn w:val="691"/>
    <w:link w:val="184"/>
    <w:uiPriority w:val="99"/>
    <w:semiHidden/>
    <w:unhideWhenUsed/>
    <w:pPr>
      <w:pBdr/>
      <w:spacing w:after="0" w:line="240" w:lineRule="auto"/>
      <w:ind/>
    </w:pPr>
    <w:rPr>
      <w:sz w:val="20"/>
      <w:szCs w:val="20"/>
    </w:rPr>
  </w:style>
  <w:style w:type="character" w:styleId="184">
    <w:name w:val="Endnote Text Char"/>
    <w:basedOn w:val="725"/>
    <w:link w:val="183"/>
    <w:uiPriority w:val="99"/>
    <w:semiHidden/>
    <w:pPr>
      <w:pBdr/>
      <w:spacing/>
      <w:ind/>
    </w:pPr>
    <w:rPr>
      <w:sz w:val="20"/>
      <w:szCs w:val="20"/>
    </w:rPr>
  </w:style>
  <w:style w:type="character" w:styleId="185">
    <w:name w:val="endnote reference"/>
    <w:basedOn w:val="725"/>
    <w:uiPriority w:val="99"/>
    <w:semiHidden/>
    <w:unhideWhenUsed/>
    <w:pPr>
      <w:pBdr/>
      <w:spacing/>
      <w:ind/>
    </w:pPr>
    <w:rPr>
      <w:vertAlign w:val="superscript"/>
    </w:rPr>
  </w:style>
  <w:style w:type="character" w:styleId="187">
    <w:name w:val="FollowedHyperlink"/>
    <w:basedOn w:val="725"/>
    <w:uiPriority w:val="99"/>
    <w:semiHidden/>
    <w:unhideWhenUsed/>
    <w:pPr>
      <w:pBdr/>
      <w:spacing/>
      <w:ind/>
    </w:pPr>
    <w:rPr>
      <w:color w:val="954f72" w:themeColor="followedHyperlink"/>
      <w:u w:val="single"/>
    </w:rPr>
  </w:style>
  <w:style w:type="paragraph" w:styleId="188">
    <w:name w:val="toc 1"/>
    <w:basedOn w:val="691"/>
    <w:next w:val="691"/>
    <w:uiPriority w:val="39"/>
    <w:unhideWhenUsed/>
    <w:pPr>
      <w:pBdr/>
      <w:spacing w:after="100"/>
      <w:ind/>
    </w:pPr>
  </w:style>
  <w:style w:type="paragraph" w:styleId="189">
    <w:name w:val="toc 2"/>
    <w:basedOn w:val="691"/>
    <w:next w:val="691"/>
    <w:uiPriority w:val="39"/>
    <w:unhideWhenUsed/>
    <w:pPr>
      <w:pBdr/>
      <w:spacing w:after="100"/>
      <w:ind w:left="220"/>
    </w:pPr>
  </w:style>
  <w:style w:type="paragraph" w:styleId="190">
    <w:name w:val="toc 3"/>
    <w:basedOn w:val="691"/>
    <w:next w:val="691"/>
    <w:uiPriority w:val="39"/>
    <w:unhideWhenUsed/>
    <w:pPr>
      <w:pBdr/>
      <w:spacing w:after="100"/>
      <w:ind w:left="440"/>
    </w:pPr>
  </w:style>
  <w:style w:type="paragraph" w:styleId="191">
    <w:name w:val="toc 4"/>
    <w:basedOn w:val="691"/>
    <w:next w:val="691"/>
    <w:uiPriority w:val="39"/>
    <w:unhideWhenUsed/>
    <w:pPr>
      <w:pBdr/>
      <w:spacing w:after="100"/>
      <w:ind w:left="660"/>
    </w:pPr>
  </w:style>
  <w:style w:type="paragraph" w:styleId="192">
    <w:name w:val="toc 5"/>
    <w:basedOn w:val="691"/>
    <w:next w:val="691"/>
    <w:uiPriority w:val="39"/>
    <w:unhideWhenUsed/>
    <w:pPr>
      <w:pBdr/>
      <w:spacing w:after="100"/>
      <w:ind w:left="880"/>
    </w:pPr>
  </w:style>
  <w:style w:type="paragraph" w:styleId="193">
    <w:name w:val="toc 6"/>
    <w:basedOn w:val="691"/>
    <w:next w:val="691"/>
    <w:uiPriority w:val="39"/>
    <w:unhideWhenUsed/>
    <w:pPr>
      <w:pBdr/>
      <w:spacing w:after="100"/>
      <w:ind w:left="1100"/>
    </w:pPr>
  </w:style>
  <w:style w:type="paragraph" w:styleId="194">
    <w:name w:val="toc 7"/>
    <w:basedOn w:val="691"/>
    <w:next w:val="691"/>
    <w:uiPriority w:val="39"/>
    <w:unhideWhenUsed/>
    <w:pPr>
      <w:pBdr/>
      <w:spacing w:after="100"/>
      <w:ind w:left="1320"/>
    </w:pPr>
  </w:style>
  <w:style w:type="paragraph" w:styleId="195">
    <w:name w:val="toc 8"/>
    <w:basedOn w:val="691"/>
    <w:next w:val="691"/>
    <w:uiPriority w:val="39"/>
    <w:unhideWhenUsed/>
    <w:pPr>
      <w:pBdr/>
      <w:spacing w:after="100"/>
      <w:ind w:left="1540"/>
    </w:pPr>
  </w:style>
  <w:style w:type="paragraph" w:styleId="196">
    <w:name w:val="toc 9"/>
    <w:basedOn w:val="691"/>
    <w:next w:val="691"/>
    <w:uiPriority w:val="39"/>
    <w:unhideWhenUsed/>
    <w:pPr>
      <w:pBdr/>
      <w:spacing w:after="100"/>
      <w:ind w:left="1760"/>
    </w:pPr>
  </w:style>
  <w:style w:type="paragraph" w:styleId="207">
    <w:name w:val="table of figures"/>
    <w:basedOn w:val="691"/>
    <w:next w:val="691"/>
    <w:uiPriority w:val="99"/>
    <w:unhideWhenUsed/>
    <w:pPr>
      <w:pBdr/>
      <w:spacing w:after="0" w:afterAutospacing="0"/>
      <w:ind/>
    </w:pPr>
  </w:style>
  <w:style w:type="paragraph" w:styleId="691" w:default="1">
    <w:name w:val="Normal"/>
    <w:qFormat/>
    <w:pPr>
      <w:pBdr/>
      <w:spacing/>
      <w:ind/>
    </w:pPr>
  </w:style>
  <w:style w:type="paragraph" w:styleId="692">
    <w:name w:val="Body Text"/>
    <w:basedOn w:val="691"/>
    <w:link w:val="734"/>
    <w:qFormat/>
    <w:pPr>
      <w:pBdr/>
      <w:spacing w:after="180" w:before="180"/>
      <w:ind/>
    </w:pPr>
  </w:style>
  <w:style w:type="paragraph" w:styleId="693" w:customStyle="1">
    <w:name w:val="First Paragraph"/>
    <w:basedOn w:val="692"/>
    <w:next w:val="692"/>
    <w:qFormat/>
    <w:pPr>
      <w:pBdr/>
      <w:spacing/>
      <w:ind/>
    </w:pPr>
  </w:style>
  <w:style w:type="paragraph" w:styleId="694" w:customStyle="1">
    <w:name w:val="Compact"/>
    <w:basedOn w:val="692"/>
    <w:qFormat/>
    <w:pPr>
      <w:pBdr/>
      <w:spacing w:after="36" w:before="36"/>
      <w:ind/>
    </w:pPr>
  </w:style>
  <w:style w:type="paragraph" w:styleId="695">
    <w:name w:val="Title"/>
    <w:basedOn w:val="691"/>
    <w:next w:val="692"/>
    <w:link w:val="696"/>
    <w:uiPriority w:val="10"/>
    <w:qFormat/>
    <w:pPr>
      <w:pBdr/>
      <w:spacing w:after="80" w:line="240" w:lineRule="auto"/>
      <w:ind/>
      <w:contextualSpacing w:val="true"/>
      <w:jc w:val="center"/>
    </w:pPr>
    <w:rPr>
      <w:rFonts w:asciiTheme="majorHAnsi" w:hAnsiTheme="majorHAnsi" w:eastAsiaTheme="majorEastAsia" w:cstheme="majorBidi"/>
      <w:sz w:val="56"/>
      <w:szCs w:val="56"/>
    </w:rPr>
  </w:style>
  <w:style w:type="character" w:styleId="696" w:customStyle="1">
    <w:name w:val="Title Char"/>
    <w:basedOn w:val="725"/>
    <w:link w:val="695"/>
    <w:uiPriority w:val="10"/>
    <w:pPr>
      <w:pBdr/>
      <w:spacing/>
      <w:ind/>
    </w:pPr>
    <w:rPr>
      <w:rFonts w:asciiTheme="majorHAnsi" w:hAnsiTheme="majorHAnsi" w:eastAsiaTheme="majorEastAsia" w:cstheme="majorBidi"/>
      <w:sz w:val="56"/>
      <w:szCs w:val="56"/>
    </w:rPr>
  </w:style>
  <w:style w:type="paragraph" w:styleId="697">
    <w:name w:val="Subtitle"/>
    <w:basedOn w:val="695"/>
    <w:next w:val="692"/>
    <w:link w:val="698"/>
    <w:uiPriority w:val="11"/>
    <w:qFormat/>
    <w:pPr>
      <w:numPr>
        <w:ilvl w:val="1"/>
      </w:numPr>
      <w:pBdr/>
      <w:spacing/>
      <w:ind/>
    </w:pPr>
    <w:rPr>
      <w:rFonts w:eastAsiaTheme="majorEastAsia" w:cstheme="majorBidi"/>
      <w:spacing w:val="15"/>
      <w:sz w:val="28"/>
      <w:szCs w:val="28"/>
    </w:rPr>
  </w:style>
  <w:style w:type="character" w:styleId="698" w:customStyle="1">
    <w:name w:val="Subtitle Char"/>
    <w:basedOn w:val="725"/>
    <w:link w:val="697"/>
    <w:uiPriority w:val="11"/>
    <w:pPr>
      <w:pBdr/>
      <w:spacing/>
      <w:ind/>
    </w:pPr>
    <w:rPr>
      <w:rFonts w:eastAsiaTheme="majorEastAsia" w:cstheme="majorBidi"/>
      <w:color w:val="595959" w:themeColor="text1" w:themeTint="A6"/>
      <w:spacing w:val="15"/>
      <w:sz w:val="28"/>
      <w:szCs w:val="28"/>
    </w:rPr>
  </w:style>
  <w:style w:type="paragraph" w:styleId="699" w:customStyle="1">
    <w:name w:val="Author"/>
    <w:basedOn w:val="695"/>
    <w:next w:val="692"/>
    <w:qFormat/>
    <w:pPr>
      <w:keepNext w:val="true"/>
      <w:keepLines w:val="true"/>
      <w:pBdr/>
      <w:spacing/>
      <w:ind/>
    </w:pPr>
    <w:rPr>
      <w:sz w:val="24"/>
      <w:szCs w:val="24"/>
    </w:rPr>
  </w:style>
  <w:style w:type="paragraph" w:styleId="700">
    <w:name w:val="Date"/>
    <w:basedOn w:val="695"/>
    <w:next w:val="692"/>
    <w:qFormat/>
    <w:pPr>
      <w:keepNext w:val="true"/>
      <w:keepLines w:val="true"/>
      <w:pBdr/>
      <w:spacing/>
      <w:ind/>
    </w:pPr>
    <w:rPr>
      <w:sz w:val="24"/>
      <w:szCs w:val="24"/>
    </w:rPr>
  </w:style>
  <w:style w:type="paragraph" w:styleId="701" w:customStyle="1">
    <w:name w:val="Abstract Title"/>
    <w:basedOn w:val="691"/>
    <w:next w:val="702"/>
    <w:qFormat/>
    <w:pPr>
      <w:keepNext w:val="true"/>
      <w:keepLines w:val="true"/>
      <w:pBdr/>
      <w:spacing w:after="0" w:before="300"/>
      <w:ind/>
      <w:jc w:val="center"/>
    </w:pPr>
    <w:rPr>
      <w:b/>
      <w:sz w:val="20"/>
      <w:szCs w:val="20"/>
    </w:rPr>
  </w:style>
  <w:style w:type="paragraph" w:styleId="702" w:customStyle="1">
    <w:name w:val="Abstract"/>
    <w:basedOn w:val="691"/>
    <w:next w:val="692"/>
    <w:qFormat/>
    <w:pPr>
      <w:keepNext w:val="true"/>
      <w:keepLines w:val="true"/>
      <w:pBdr/>
      <w:spacing w:after="300" w:before="100"/>
      <w:ind/>
    </w:pPr>
    <w:rPr>
      <w:sz w:val="20"/>
      <w:szCs w:val="20"/>
    </w:rPr>
  </w:style>
  <w:style w:type="paragraph" w:styleId="703">
    <w:name w:val="Bibliography"/>
    <w:basedOn w:val="691"/>
    <w:next w:val="703"/>
    <w:qFormat/>
    <w:pPr>
      <w:pBdr/>
      <w:spacing/>
      <w:ind/>
    </w:pPr>
  </w:style>
  <w:style w:type="paragraph" w:styleId="704">
    <w:name w:val="Heading 1"/>
    <w:basedOn w:val="691"/>
    <w:next w:val="692"/>
    <w:link w:val="713"/>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05">
    <w:name w:val="Heading 2"/>
    <w:basedOn w:val="691"/>
    <w:next w:val="692"/>
    <w:link w:val="714"/>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06">
    <w:name w:val="Heading 3"/>
    <w:basedOn w:val="691"/>
    <w:next w:val="692"/>
    <w:link w:val="715"/>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07">
    <w:name w:val="Heading 4"/>
    <w:basedOn w:val="691"/>
    <w:next w:val="692"/>
    <w:link w:val="716"/>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08">
    <w:name w:val="Heading 5"/>
    <w:basedOn w:val="691"/>
    <w:next w:val="692"/>
    <w:link w:val="717"/>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09">
    <w:name w:val="Heading 6"/>
    <w:basedOn w:val="691"/>
    <w:next w:val="692"/>
    <w:link w:val="71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10">
    <w:name w:val="Heading 7"/>
    <w:basedOn w:val="691"/>
    <w:next w:val="692"/>
    <w:link w:val="71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11">
    <w:name w:val="Heading 8"/>
    <w:basedOn w:val="691"/>
    <w:next w:val="692"/>
    <w:link w:val="72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12">
    <w:name w:val="Heading 9"/>
    <w:basedOn w:val="691"/>
    <w:next w:val="692"/>
    <w:link w:val="72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13" w:customStyle="1">
    <w:name w:val="Heading 1 Char"/>
    <w:basedOn w:val="725"/>
    <w:link w:val="704"/>
    <w:uiPriority w:val="9"/>
    <w:pPr>
      <w:pBdr/>
      <w:spacing/>
      <w:ind/>
    </w:pPr>
    <w:rPr>
      <w:rFonts w:asciiTheme="majorHAnsi" w:hAnsiTheme="majorHAnsi" w:eastAsiaTheme="majorEastAsia" w:cstheme="majorBidi"/>
      <w:color w:val="0f4761" w:themeColor="accent1" w:themeShade="BF"/>
      <w:sz w:val="40"/>
      <w:szCs w:val="40"/>
    </w:rPr>
  </w:style>
  <w:style w:type="character" w:styleId="714" w:customStyle="1">
    <w:name w:val="Heading 2 Char"/>
    <w:basedOn w:val="725"/>
    <w:link w:val="705"/>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15" w:customStyle="1">
    <w:name w:val="Heading 3 Char"/>
    <w:basedOn w:val="725"/>
    <w:link w:val="706"/>
    <w:uiPriority w:val="9"/>
    <w:semiHidden/>
    <w:pPr>
      <w:pBdr/>
      <w:spacing/>
      <w:ind/>
    </w:pPr>
    <w:rPr>
      <w:rFonts w:eastAsiaTheme="majorEastAsia" w:cstheme="majorBidi"/>
      <w:color w:val="0f4761" w:themeColor="accent1" w:themeShade="BF"/>
      <w:sz w:val="28"/>
      <w:szCs w:val="28"/>
    </w:rPr>
  </w:style>
  <w:style w:type="character" w:styleId="716" w:customStyle="1">
    <w:name w:val="Heading 4 Char"/>
    <w:basedOn w:val="725"/>
    <w:link w:val="707"/>
    <w:uiPriority w:val="9"/>
    <w:semiHidden/>
    <w:pPr>
      <w:pBdr/>
      <w:spacing/>
      <w:ind/>
    </w:pPr>
    <w:rPr>
      <w:rFonts w:eastAsiaTheme="majorEastAsia" w:cstheme="majorBidi"/>
      <w:i/>
      <w:iCs/>
      <w:color w:val="0f4761" w:themeColor="accent1" w:themeShade="BF"/>
    </w:rPr>
  </w:style>
  <w:style w:type="character" w:styleId="717" w:customStyle="1">
    <w:name w:val="Heading 5 Char"/>
    <w:basedOn w:val="725"/>
    <w:link w:val="708"/>
    <w:uiPriority w:val="9"/>
    <w:semiHidden/>
    <w:pPr>
      <w:pBdr/>
      <w:spacing/>
      <w:ind/>
    </w:pPr>
    <w:rPr>
      <w:rFonts w:eastAsiaTheme="majorEastAsia" w:cstheme="majorBidi"/>
      <w:color w:val="0f4761" w:themeColor="accent1" w:themeShade="BF"/>
    </w:rPr>
  </w:style>
  <w:style w:type="character" w:styleId="718" w:customStyle="1">
    <w:name w:val="Heading 6 Char"/>
    <w:basedOn w:val="725"/>
    <w:link w:val="709"/>
    <w:uiPriority w:val="9"/>
    <w:semiHidden/>
    <w:pPr>
      <w:pBdr/>
      <w:spacing/>
      <w:ind/>
    </w:pPr>
    <w:rPr>
      <w:rFonts w:eastAsiaTheme="majorEastAsia" w:cstheme="majorBidi"/>
      <w:i/>
      <w:iCs/>
      <w:color w:val="595959" w:themeColor="text1" w:themeTint="A6"/>
    </w:rPr>
  </w:style>
  <w:style w:type="character" w:styleId="719" w:customStyle="1">
    <w:name w:val="Heading 7 Char"/>
    <w:basedOn w:val="725"/>
    <w:link w:val="710"/>
    <w:uiPriority w:val="9"/>
    <w:semiHidden/>
    <w:pPr>
      <w:pBdr/>
      <w:spacing/>
      <w:ind/>
    </w:pPr>
    <w:rPr>
      <w:rFonts w:eastAsiaTheme="majorEastAsia" w:cstheme="majorBidi"/>
      <w:color w:val="595959" w:themeColor="text1" w:themeTint="A6"/>
    </w:rPr>
  </w:style>
  <w:style w:type="character" w:styleId="720" w:customStyle="1">
    <w:name w:val="Heading 8 Char"/>
    <w:basedOn w:val="725"/>
    <w:link w:val="711"/>
    <w:uiPriority w:val="9"/>
    <w:semiHidden/>
    <w:pPr>
      <w:pBdr/>
      <w:spacing/>
      <w:ind/>
    </w:pPr>
    <w:rPr>
      <w:rFonts w:eastAsiaTheme="majorEastAsia" w:cstheme="majorBidi"/>
      <w:i/>
      <w:iCs/>
      <w:color w:val="272727" w:themeColor="text1" w:themeTint="D8"/>
    </w:rPr>
  </w:style>
  <w:style w:type="character" w:styleId="721" w:customStyle="1">
    <w:name w:val="Heading 9 Char"/>
    <w:basedOn w:val="725"/>
    <w:link w:val="712"/>
    <w:uiPriority w:val="9"/>
    <w:semiHidden/>
    <w:pPr>
      <w:pBdr/>
      <w:spacing/>
      <w:ind/>
    </w:pPr>
    <w:rPr>
      <w:rFonts w:eastAsiaTheme="majorEastAsia" w:cstheme="majorBidi"/>
      <w:color w:val="272727" w:themeColor="text1" w:themeTint="D8"/>
    </w:rPr>
  </w:style>
  <w:style w:type="paragraph" w:styleId="722">
    <w:name w:val="Block Text"/>
    <w:basedOn w:val="692"/>
    <w:next w:val="692"/>
    <w:uiPriority w:val="9"/>
    <w:unhideWhenUsed/>
    <w:qFormat/>
    <w:pPr>
      <w:pBdr/>
      <w:spacing w:after="100" w:before="100"/>
      <w:ind w:right="480" w:firstLine="0" w:left="480"/>
    </w:pPr>
  </w:style>
  <w:style w:type="paragraph" w:styleId="723">
    <w:name w:val="footnote text"/>
    <w:basedOn w:val="691"/>
    <w:next w:val="723"/>
    <w:uiPriority w:val="9"/>
    <w:unhideWhenUsed/>
    <w:qFormat/>
    <w:pPr>
      <w:pBdr/>
      <w:spacing/>
      <w:ind/>
    </w:pPr>
  </w:style>
  <w:style w:type="paragraph" w:styleId="724">
    <w:name w:val="Footnote Block Text"/>
    <w:basedOn w:val="723"/>
    <w:next w:val="723"/>
    <w:uiPriority w:val="9"/>
    <w:unhideWhenUsed/>
    <w:qFormat/>
    <w:pPr>
      <w:pBdr/>
      <w:spacing w:after="100" w:before="100"/>
      <w:ind w:right="480" w:firstLine="0" w:left="480"/>
    </w:pPr>
  </w:style>
  <w:style w:type="character" w:styleId="725" w:default="1">
    <w:name w:val="Default Paragraph Font"/>
    <w:semiHidden/>
    <w:unhideWhenUsed/>
    <w:pPr>
      <w:pBdr/>
      <w:spacing/>
      <w:ind/>
    </w:pPr>
  </w:style>
  <w:style w:type="table" w:styleId="726">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7" w:customStyle="1">
    <w:name w:val="Definition Term"/>
    <w:basedOn w:val="691"/>
    <w:next w:val="728"/>
    <w:pPr>
      <w:keepNext w:val="true"/>
      <w:keepLines w:val="true"/>
      <w:pBdr/>
      <w:spacing w:after="0"/>
      <w:ind/>
    </w:pPr>
    <w:rPr>
      <w:b/>
    </w:rPr>
  </w:style>
  <w:style w:type="paragraph" w:styleId="728" w:customStyle="1">
    <w:name w:val="Definition"/>
    <w:basedOn w:val="691"/>
    <w:pPr>
      <w:pBdr/>
      <w:spacing/>
      <w:ind/>
    </w:pPr>
  </w:style>
  <w:style w:type="paragraph" w:styleId="729">
    <w:name w:val="Caption"/>
    <w:basedOn w:val="691"/>
    <w:link w:val="734"/>
    <w:pPr>
      <w:pBdr/>
      <w:spacing w:after="120" w:before="0"/>
      <w:ind/>
    </w:pPr>
    <w:rPr>
      <w:i/>
    </w:rPr>
  </w:style>
  <w:style w:type="paragraph" w:styleId="730" w:customStyle="1">
    <w:name w:val="Table Caption"/>
    <w:basedOn w:val="729"/>
    <w:pPr>
      <w:keepNext w:val="true"/>
      <w:pBdr/>
      <w:spacing/>
      <w:ind/>
    </w:pPr>
  </w:style>
  <w:style w:type="paragraph" w:styleId="731" w:customStyle="1">
    <w:name w:val="Image Caption"/>
    <w:basedOn w:val="729"/>
    <w:pPr>
      <w:pBdr/>
      <w:spacing/>
      <w:ind/>
    </w:pPr>
  </w:style>
  <w:style w:type="paragraph" w:styleId="732" w:customStyle="1">
    <w:name w:val="Figure"/>
    <w:basedOn w:val="691"/>
    <w:pPr>
      <w:pBdr/>
      <w:spacing/>
      <w:ind/>
    </w:pPr>
  </w:style>
  <w:style w:type="paragraph" w:styleId="733" w:customStyle="1">
    <w:name w:val="Captioned Figure"/>
    <w:basedOn w:val="732"/>
    <w:pPr>
      <w:keepNext w:val="true"/>
      <w:pBdr/>
      <w:spacing/>
      <w:ind/>
    </w:pPr>
  </w:style>
  <w:style w:type="character" w:styleId="734" w:customStyle="1">
    <w:name w:val="Body Text Char"/>
    <w:basedOn w:val="725"/>
    <w:link w:val="692"/>
    <w:pPr>
      <w:pBdr/>
      <w:spacing/>
      <w:ind/>
    </w:pPr>
  </w:style>
  <w:style w:type="character" w:styleId="735" w:customStyle="1">
    <w:name w:val="Verbatim Char"/>
    <w:basedOn w:val="734"/>
    <w:pPr>
      <w:pBdr/>
      <w:spacing/>
      <w:ind/>
    </w:pPr>
    <w:rPr>
      <w:rFonts w:ascii="Consolas" w:hAnsi="Consolas"/>
      <w:sz w:val="22"/>
    </w:rPr>
  </w:style>
  <w:style w:type="character" w:styleId="736" w:customStyle="1">
    <w:name w:val="Section Number"/>
    <w:basedOn w:val="734"/>
    <w:pPr>
      <w:pBdr/>
      <w:spacing/>
      <w:ind/>
    </w:pPr>
  </w:style>
  <w:style w:type="character" w:styleId="737">
    <w:name w:val="footnote reference"/>
    <w:basedOn w:val="734"/>
    <w:pPr>
      <w:pBdr/>
      <w:spacing/>
      <w:ind/>
    </w:pPr>
    <w:rPr>
      <w:vertAlign w:val="superscript"/>
    </w:rPr>
  </w:style>
  <w:style w:type="character" w:styleId="738">
    <w:name w:val="Hyperlink"/>
    <w:basedOn w:val="734"/>
    <w:pPr>
      <w:pBdr/>
      <w:spacing/>
      <w:ind/>
    </w:pPr>
    <w:rPr>
      <w:color w:val="4f81bd" w:themeColor="accent1"/>
    </w:rPr>
  </w:style>
  <w:style w:type="paragraph" w:styleId="739">
    <w:name w:val="TOC Heading"/>
    <w:basedOn w:val="704"/>
    <w:next w:val="692"/>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40" w:customStyle="1">
    <w:name w:val="Source Code"/>
    <w:basedOn w:val="691"/>
    <w:link w:val="735"/>
    <w:pPr>
      <w:pBdr/>
      <w:spacing/>
      <w:ind/>
    </w:pPr>
  </w:style>
  <w:style w:type="character" w:styleId="741" w:customStyle="1">
    <w:name w:val="KeywordTok"/>
    <w:basedOn w:val="735"/>
    <w:pPr>
      <w:pBdr/>
      <w:spacing/>
      <w:ind/>
    </w:pPr>
    <w:rPr>
      <w:b/>
      <w:color w:val="007020"/>
    </w:rPr>
  </w:style>
  <w:style w:type="character" w:styleId="742" w:customStyle="1">
    <w:name w:val="DataTypeTok"/>
    <w:basedOn w:val="735"/>
    <w:pPr>
      <w:pBdr/>
      <w:spacing/>
      <w:ind/>
    </w:pPr>
    <w:rPr>
      <w:color w:val="902000"/>
    </w:rPr>
  </w:style>
  <w:style w:type="character" w:styleId="743" w:customStyle="1">
    <w:name w:val="DecValTok"/>
    <w:basedOn w:val="735"/>
    <w:pPr>
      <w:pBdr/>
      <w:spacing/>
      <w:ind/>
    </w:pPr>
    <w:rPr>
      <w:color w:val="40a070"/>
    </w:rPr>
  </w:style>
  <w:style w:type="character" w:styleId="744" w:customStyle="1">
    <w:name w:val="BaseNTok"/>
    <w:basedOn w:val="735"/>
    <w:pPr>
      <w:pBdr/>
      <w:spacing/>
      <w:ind/>
    </w:pPr>
    <w:rPr>
      <w:color w:val="40a070"/>
    </w:rPr>
  </w:style>
  <w:style w:type="character" w:styleId="745" w:customStyle="1">
    <w:name w:val="FloatTok"/>
    <w:basedOn w:val="735"/>
    <w:pPr>
      <w:pBdr/>
      <w:spacing/>
      <w:ind/>
    </w:pPr>
    <w:rPr>
      <w:color w:val="40a070"/>
    </w:rPr>
  </w:style>
  <w:style w:type="character" w:styleId="746" w:customStyle="1">
    <w:name w:val="ConstantTok"/>
    <w:basedOn w:val="735"/>
    <w:pPr>
      <w:pBdr/>
      <w:spacing/>
      <w:ind/>
    </w:pPr>
    <w:rPr>
      <w:color w:val="880000"/>
    </w:rPr>
  </w:style>
  <w:style w:type="character" w:styleId="747" w:customStyle="1">
    <w:name w:val="CharTok"/>
    <w:basedOn w:val="735"/>
    <w:pPr>
      <w:pBdr/>
      <w:spacing/>
      <w:ind/>
    </w:pPr>
    <w:rPr>
      <w:color w:val="4070a0"/>
    </w:rPr>
  </w:style>
  <w:style w:type="character" w:styleId="748" w:customStyle="1">
    <w:name w:val="SpecialCharTok"/>
    <w:basedOn w:val="735"/>
    <w:pPr>
      <w:pBdr/>
      <w:spacing/>
      <w:ind/>
    </w:pPr>
    <w:rPr>
      <w:color w:val="4070a0"/>
    </w:rPr>
  </w:style>
  <w:style w:type="character" w:styleId="749" w:customStyle="1">
    <w:name w:val="StringTok"/>
    <w:basedOn w:val="735"/>
    <w:pPr>
      <w:pBdr/>
      <w:spacing/>
      <w:ind/>
    </w:pPr>
    <w:rPr>
      <w:color w:val="4070a0"/>
    </w:rPr>
  </w:style>
  <w:style w:type="character" w:styleId="750" w:customStyle="1">
    <w:name w:val="VerbatimStringTok"/>
    <w:basedOn w:val="735"/>
    <w:pPr>
      <w:pBdr/>
      <w:spacing/>
      <w:ind/>
    </w:pPr>
    <w:rPr>
      <w:color w:val="4070a0"/>
    </w:rPr>
  </w:style>
  <w:style w:type="character" w:styleId="751" w:customStyle="1">
    <w:name w:val="SpecialStringTok"/>
    <w:basedOn w:val="735"/>
    <w:pPr>
      <w:pBdr/>
      <w:spacing/>
      <w:ind/>
    </w:pPr>
    <w:rPr>
      <w:color w:val="bb6688"/>
    </w:rPr>
  </w:style>
  <w:style w:type="character" w:styleId="752" w:customStyle="1">
    <w:name w:val="ImportTok"/>
    <w:basedOn w:val="735"/>
    <w:pPr>
      <w:pBdr/>
      <w:spacing/>
      <w:ind/>
    </w:pPr>
    <w:rPr>
      <w:b/>
      <w:color w:val="008000"/>
    </w:rPr>
  </w:style>
  <w:style w:type="character" w:styleId="753" w:customStyle="1">
    <w:name w:val="CommentTok"/>
    <w:basedOn w:val="735"/>
    <w:pPr>
      <w:pBdr/>
      <w:spacing/>
      <w:ind/>
    </w:pPr>
    <w:rPr>
      <w:i/>
      <w:color w:val="60a0b0"/>
    </w:rPr>
  </w:style>
  <w:style w:type="character" w:styleId="754" w:customStyle="1">
    <w:name w:val="DocumentationTok"/>
    <w:basedOn w:val="735"/>
    <w:pPr>
      <w:pBdr/>
      <w:spacing/>
      <w:ind/>
    </w:pPr>
    <w:rPr>
      <w:i/>
      <w:color w:val="ba2121"/>
    </w:rPr>
  </w:style>
  <w:style w:type="character" w:styleId="755" w:customStyle="1">
    <w:name w:val="AnnotationTok"/>
    <w:basedOn w:val="735"/>
    <w:pPr>
      <w:pBdr/>
      <w:spacing/>
      <w:ind/>
    </w:pPr>
    <w:rPr>
      <w:b/>
      <w:i/>
      <w:color w:val="60a0b0"/>
    </w:rPr>
  </w:style>
  <w:style w:type="character" w:styleId="756" w:customStyle="1">
    <w:name w:val="CommentVarTok"/>
    <w:basedOn w:val="735"/>
    <w:pPr>
      <w:pBdr/>
      <w:spacing/>
      <w:ind/>
    </w:pPr>
    <w:rPr>
      <w:b/>
      <w:i/>
      <w:color w:val="60a0b0"/>
    </w:rPr>
  </w:style>
  <w:style w:type="character" w:styleId="757" w:customStyle="1">
    <w:name w:val="OtherTok"/>
    <w:basedOn w:val="735"/>
    <w:pPr>
      <w:pBdr/>
      <w:spacing/>
      <w:ind/>
    </w:pPr>
    <w:rPr>
      <w:color w:val="007020"/>
    </w:rPr>
  </w:style>
  <w:style w:type="character" w:styleId="758" w:customStyle="1">
    <w:name w:val="FunctionTok"/>
    <w:basedOn w:val="735"/>
    <w:pPr>
      <w:pBdr/>
      <w:spacing/>
      <w:ind/>
    </w:pPr>
    <w:rPr>
      <w:color w:val="06287e"/>
    </w:rPr>
  </w:style>
  <w:style w:type="character" w:styleId="759" w:customStyle="1">
    <w:name w:val="VariableTok"/>
    <w:basedOn w:val="735"/>
    <w:pPr>
      <w:pBdr/>
      <w:spacing/>
      <w:ind/>
    </w:pPr>
    <w:rPr>
      <w:color w:val="19177c"/>
    </w:rPr>
  </w:style>
  <w:style w:type="character" w:styleId="760" w:customStyle="1">
    <w:name w:val="ControlFlowTok"/>
    <w:basedOn w:val="735"/>
    <w:pPr>
      <w:pBdr/>
      <w:spacing/>
      <w:ind/>
    </w:pPr>
    <w:rPr>
      <w:b/>
      <w:color w:val="007020"/>
    </w:rPr>
  </w:style>
  <w:style w:type="character" w:styleId="761" w:customStyle="1">
    <w:name w:val="OperatorTok"/>
    <w:basedOn w:val="735"/>
    <w:pPr>
      <w:pBdr/>
      <w:spacing/>
      <w:ind/>
    </w:pPr>
    <w:rPr>
      <w:color w:val="666666"/>
    </w:rPr>
  </w:style>
  <w:style w:type="character" w:styleId="762" w:customStyle="1">
    <w:name w:val="BuiltInTok"/>
    <w:basedOn w:val="735"/>
    <w:pPr>
      <w:pBdr/>
      <w:spacing/>
      <w:ind/>
    </w:pPr>
    <w:rPr>
      <w:color w:val="008000"/>
    </w:rPr>
  </w:style>
  <w:style w:type="character" w:styleId="763" w:customStyle="1">
    <w:name w:val="ExtensionTok"/>
    <w:basedOn w:val="735"/>
    <w:pPr>
      <w:pBdr/>
      <w:spacing/>
      <w:ind/>
    </w:pPr>
  </w:style>
  <w:style w:type="character" w:styleId="764" w:customStyle="1">
    <w:name w:val="PreprocessorTok"/>
    <w:basedOn w:val="735"/>
    <w:pPr>
      <w:pBdr/>
      <w:spacing/>
      <w:ind/>
    </w:pPr>
    <w:rPr>
      <w:color w:val="bc7a00"/>
    </w:rPr>
  </w:style>
  <w:style w:type="character" w:styleId="765" w:customStyle="1">
    <w:name w:val="AttributeTok"/>
    <w:basedOn w:val="735"/>
    <w:pPr>
      <w:pBdr/>
      <w:spacing/>
      <w:ind/>
    </w:pPr>
    <w:rPr>
      <w:color w:val="7d9029"/>
    </w:rPr>
  </w:style>
  <w:style w:type="character" w:styleId="766" w:customStyle="1">
    <w:name w:val="RegionMarkerTok"/>
    <w:basedOn w:val="735"/>
    <w:pPr>
      <w:pBdr/>
      <w:spacing/>
      <w:ind/>
    </w:pPr>
  </w:style>
  <w:style w:type="character" w:styleId="767" w:customStyle="1">
    <w:name w:val="InformationTok"/>
    <w:basedOn w:val="735"/>
    <w:pPr>
      <w:pBdr/>
      <w:spacing/>
      <w:ind/>
    </w:pPr>
    <w:rPr>
      <w:b/>
      <w:i/>
      <w:color w:val="60a0b0"/>
    </w:rPr>
  </w:style>
  <w:style w:type="character" w:styleId="768" w:customStyle="1">
    <w:name w:val="WarningTok"/>
    <w:basedOn w:val="735"/>
    <w:pPr>
      <w:pBdr/>
      <w:spacing/>
      <w:ind/>
    </w:pPr>
    <w:rPr>
      <w:b/>
      <w:i/>
      <w:color w:val="60a0b0"/>
    </w:rPr>
  </w:style>
  <w:style w:type="character" w:styleId="769" w:customStyle="1">
    <w:name w:val="AlertTok"/>
    <w:basedOn w:val="735"/>
    <w:pPr>
      <w:pBdr/>
      <w:spacing/>
      <w:ind/>
    </w:pPr>
    <w:rPr>
      <w:b/>
      <w:color w:val="ff0000"/>
    </w:rPr>
  </w:style>
  <w:style w:type="character" w:styleId="770" w:customStyle="1">
    <w:name w:val="ErrorTok"/>
    <w:basedOn w:val="735"/>
    <w:pPr>
      <w:pBdr/>
      <w:spacing/>
      <w:ind/>
    </w:pPr>
    <w:rPr>
      <w:b/>
      <w:color w:val="ff0000"/>
    </w:rPr>
  </w:style>
  <w:style w:type="character" w:styleId="771" w:customStyle="1">
    <w:name w:val="NormalTok"/>
    <w:basedOn w:val="735"/>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2025-05-05T00:33:59Z</dcterms:created>
  <dcterms:modified xsi:type="dcterms:W3CDTF">2025-05-05T00:48:05Z</dcterms:modified>
</cp:coreProperties>
</file>