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4E5BC" w14:textId="49BEDB0C" w:rsidR="00AD4BB1" w:rsidRPr="00526142" w:rsidRDefault="00AD4BB1" w:rsidP="00AD4BB1">
      <w:r>
        <w:t xml:space="preserve">To ascertain the extent to which self-categorization theory provides a better or worse explanation of our data, we will </w:t>
      </w:r>
      <w:r w:rsidRPr="00526142">
        <w:t xml:space="preserve">directly compare these </w:t>
      </w:r>
      <w:r>
        <w:t xml:space="preserve">competing explanations </w:t>
      </w:r>
      <w:r w:rsidRPr="00526142">
        <w:t xml:space="preserve">using Bayesian ordinal logistic models with priors that reflected the different assumptions of each </w:t>
      </w:r>
      <w:r>
        <w:t>explanation</w:t>
      </w:r>
      <w:r w:rsidRPr="00526142">
        <w:t xml:space="preserve"> in relation to how ingroup and outgroup</w:t>
      </w:r>
      <w:r>
        <w:t xml:space="preserve"> descriptive</w:t>
      </w:r>
      <w:r w:rsidRPr="00526142">
        <w:t xml:space="preserve"> norms </w:t>
      </w:r>
      <w:r>
        <w:t>are</w:t>
      </w:r>
      <w:r w:rsidRPr="00526142">
        <w:t xml:space="preserve"> expected to influence preferences. </w:t>
      </w:r>
    </w:p>
    <w:p w14:paraId="056E0D8E" w14:textId="36C0E3E2" w:rsidR="00AD4BB1" w:rsidRPr="00526142" w:rsidRDefault="00AD4BB1" w:rsidP="00AD4BB1">
      <w:r w:rsidRPr="00526142">
        <w:t>Each of the following models represent Bayesian versions of ordinal logistic regression, which predicts the proportions of responses on an ordinal scale while assuming that certain variables (in our case, the descriptive norms) change the odds of making higher or lower responses on the scale. Specifically, the variables are parameterized in terms of the natural log odds of favouring a higher response (more strongly preferring to not report the robber). We can represent this as show</w:t>
      </w:r>
      <w:r w:rsidR="00BE6E90">
        <w:t>n</w:t>
      </w:r>
      <w:r w:rsidRPr="00526142">
        <w:t xml:space="preserve"> in Equation 1:</w:t>
      </w:r>
    </w:p>
    <w:p w14:paraId="6A0AB329" w14:textId="77777777" w:rsidR="00AD4BB1" w:rsidRPr="00526142" w:rsidRDefault="00552062" w:rsidP="00AD4BB1">
      <w:pPr>
        <w:rPr>
          <w:rFonts w:eastAsiaTheme="minorEastAsia"/>
          <w:smallCaps/>
        </w:rPr>
      </w:pPr>
      <m:oMath>
        <m:func>
          <m:funcPr>
            <m:ctrlPr>
              <w:rPr>
                <w:rFonts w:ascii="Cambria Math" w:eastAsiaTheme="minorEastAsia" w:hAnsi="Cambria Math"/>
                <w:i/>
                <w:smallCaps/>
              </w:rPr>
            </m:ctrlPr>
          </m:funcPr>
          <m:fName>
            <m:sSub>
              <m:sSubPr>
                <m:ctrlPr>
                  <w:rPr>
                    <w:rFonts w:ascii="Cambria Math" w:eastAsiaTheme="minorEastAsia" w:hAnsi="Cambria Math"/>
                    <w:i/>
                    <w:smallCaps/>
                  </w:rPr>
                </m:ctrlPr>
              </m:sSubPr>
              <m:e>
                <m:r>
                  <w:rPr>
                    <w:rFonts w:ascii="Cambria Math" w:eastAsiaTheme="minorEastAsia" w:hAnsi="Cambria Math"/>
                  </w:rPr>
                  <m:t>log</m:t>
                </m:r>
                <m:ctrlPr>
                  <w:rPr>
                    <w:rFonts w:ascii="Cambria Math" w:eastAsiaTheme="minorEastAsia" w:hAnsi="Cambria Math"/>
                    <w:smallCaps/>
                  </w:rPr>
                </m:ctrlPr>
              </m:e>
              <m:sub>
                <m:r>
                  <w:rPr>
                    <w:rFonts w:ascii="Cambria Math" w:eastAsiaTheme="minorEastAsia" w:hAnsi="Cambria Math"/>
                    <w:smallCaps/>
                  </w:rPr>
                  <m:t>e</m:t>
                </m:r>
                <m:ctrlPr>
                  <w:rPr>
                    <w:rFonts w:ascii="Cambria Math" w:eastAsiaTheme="minorEastAsia" w:hAnsi="Cambria Math"/>
                    <w:smallCaps/>
                  </w:rPr>
                </m:ctrlPr>
              </m:sub>
            </m:sSub>
          </m:fName>
          <m:e>
            <m:r>
              <w:rPr>
                <w:rFonts w:ascii="Cambria Math" w:eastAsiaTheme="minorEastAsia" w:hAnsi="Cambria Math"/>
                <w:smallCaps/>
              </w:rPr>
              <m:t>(</m:t>
            </m:r>
            <m:r>
              <m:rPr>
                <m:nor/>
              </m:rPr>
              <w:rPr>
                <w:rFonts w:ascii="Cambria Math" w:eastAsiaTheme="minorEastAsia" w:hAnsi="Cambria Math"/>
              </w:rPr>
              <m:t>odds of responding higher</m:t>
            </m:r>
            <m:r>
              <w:rPr>
                <w:rFonts w:ascii="Cambria Math" w:eastAsiaTheme="minorEastAsia" w:hAnsi="Cambria Math"/>
              </w:rPr>
              <m:t>)</m:t>
            </m:r>
          </m:e>
        </m:func>
        <m:r>
          <w:rPr>
            <w:rFonts w:ascii="Cambria Math" w:eastAsiaTheme="minorEastAsia" w:hAnsi="Cambria Math"/>
            <w:smallCaps/>
          </w:rPr>
          <m:t>=</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in</m:t>
            </m:r>
          </m:sub>
        </m:sSub>
        <m:r>
          <w:rPr>
            <w:rFonts w:ascii="Cambria Math" w:eastAsiaTheme="minorEastAsia" w:hAnsi="Cambria Math"/>
            <w:smallCaps/>
          </w:rPr>
          <m:t>I+</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both</m:t>
            </m:r>
          </m:sub>
        </m:sSub>
        <m:r>
          <w:rPr>
            <w:rFonts w:ascii="Cambria Math" w:eastAsiaTheme="minorEastAsia" w:hAnsi="Cambria Math"/>
            <w:smallCaps/>
          </w:rPr>
          <m:t>B+</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out</m:t>
            </m:r>
          </m:sub>
        </m:sSub>
        <m:r>
          <w:rPr>
            <w:rFonts w:ascii="Cambria Math" w:eastAsiaTheme="minorEastAsia" w:hAnsi="Cambria Math"/>
            <w:smallCaps/>
          </w:rPr>
          <m:t>I×B</m:t>
        </m:r>
      </m:oMath>
      <w:r w:rsidR="00AD4BB1">
        <w:rPr>
          <w:rFonts w:eastAsiaTheme="minorEastAsia"/>
          <w:smallCaps/>
        </w:rPr>
        <w:tab/>
      </w:r>
      <w:r w:rsidR="00AD4BB1">
        <w:rPr>
          <w:rFonts w:eastAsiaTheme="minorEastAsia"/>
          <w:smallCaps/>
        </w:rPr>
        <w:tab/>
      </w:r>
      <w:r w:rsidR="00AD4BB1">
        <w:rPr>
          <w:rFonts w:eastAsiaTheme="minorEastAsia"/>
          <w:smallCaps/>
        </w:rPr>
        <w:tab/>
        <w:t>(1)</w:t>
      </w:r>
    </w:p>
    <w:p w14:paraId="36DA97D9" w14:textId="7F34CA95" w:rsidR="00F4256E" w:rsidRDefault="00AD4BB1" w:rsidP="00F4256E">
      <w:r w:rsidRPr="00526142">
        <w:t xml:space="preserve">Here, </w:t>
      </w:r>
      <w:r w:rsidRPr="00526142">
        <w:rPr>
          <w:i/>
        </w:rPr>
        <w:t>I</w:t>
      </w:r>
      <w:r w:rsidRPr="00526142">
        <w:t xml:space="preserve"> represents the </w:t>
      </w:r>
      <w:r w:rsidRPr="00526142">
        <w:rPr>
          <w:smallCaps/>
        </w:rPr>
        <w:t xml:space="preserve">ingroup norm </w:t>
      </w:r>
      <w:r w:rsidRPr="00526142">
        <w:t>condition (and the corresponding direction of the outgroup norm)</w:t>
      </w:r>
      <w:r w:rsidRPr="00526142">
        <w:rPr>
          <w:smallCaps/>
        </w:rPr>
        <w:t xml:space="preserve">, </w:t>
      </w:r>
      <w:r w:rsidRPr="00526142">
        <w:t xml:space="preserve">B represents </w:t>
      </w:r>
      <w:r w:rsidRPr="00526142">
        <w:rPr>
          <w:smallCaps/>
        </w:rPr>
        <w:t xml:space="preserve">both norms shown </w:t>
      </w:r>
      <w:r w:rsidRPr="00526142">
        <w:t>and</w:t>
      </w:r>
      <w:r>
        <w:t xml:space="preserve"> </w:t>
      </w:r>
      <w:r>
        <w:rPr>
          <w:i/>
        </w:rPr>
        <w:t xml:space="preserve">I </w:t>
      </w:r>
      <w:r>
        <w:rPr>
          <w:i/>
        </w:rPr>
        <w:sym w:font="Symbol" w:char="F0B4"/>
      </w:r>
      <w:r>
        <w:rPr>
          <w:i/>
        </w:rPr>
        <w:t xml:space="preserve"> B </w:t>
      </w:r>
      <w:r w:rsidRPr="00526142">
        <w:t xml:space="preserve">represents the </w:t>
      </w:r>
      <w:r w:rsidRPr="00526142">
        <w:rPr>
          <w:smallCaps/>
        </w:rPr>
        <w:t>outgroup norm</w:t>
      </w:r>
      <w:r w:rsidRPr="00526142">
        <w:t>, while</w:t>
      </w:r>
      <w:r>
        <w:t xml:space="preserve"> </w:t>
      </w:r>
      <w:r>
        <w:rPr>
          <w:i/>
        </w:rPr>
        <w:t>b</w:t>
      </w:r>
      <w:r>
        <w:rPr>
          <w:i/>
          <w:vertAlign w:val="subscript"/>
        </w:rPr>
        <w:t>in</w:t>
      </w:r>
      <w:r>
        <w:rPr>
          <w:b/>
          <w:i/>
          <w:vertAlign w:val="subscript"/>
        </w:rPr>
        <w:softHyphen/>
      </w:r>
      <w:r>
        <w:rPr>
          <w:i/>
        </w:rPr>
        <w:t xml:space="preserve">, </w:t>
      </w:r>
      <w:proofErr w:type="spellStart"/>
      <w:r>
        <w:rPr>
          <w:i/>
        </w:rPr>
        <w:t>b</w:t>
      </w:r>
      <w:r>
        <w:rPr>
          <w:i/>
          <w:vertAlign w:val="subscript"/>
        </w:rPr>
        <w:t>both</w:t>
      </w:r>
      <w:proofErr w:type="spellEnd"/>
      <w:r>
        <w:rPr>
          <w:i/>
        </w:rPr>
        <w:t xml:space="preserve"> and b</w:t>
      </w:r>
      <w:r>
        <w:rPr>
          <w:i/>
          <w:vertAlign w:val="subscript"/>
        </w:rPr>
        <w:t>out</w:t>
      </w:r>
      <w:r>
        <w:rPr>
          <w:i/>
        </w:rPr>
        <w:t xml:space="preserve"> a</w:t>
      </w:r>
      <w:r w:rsidRPr="00526142">
        <w:t xml:space="preserve">re parameters representing the effects of changing these conditions. </w:t>
      </w:r>
      <w:r w:rsidR="00F4256E" w:rsidRPr="00526142">
        <w:t xml:space="preserve">We outline the priors for these parameters </w:t>
      </w:r>
      <w:r w:rsidR="00F4256E">
        <w:t xml:space="preserve">which we </w:t>
      </w:r>
      <w:r w:rsidR="00DD4758">
        <w:t xml:space="preserve">have </w:t>
      </w:r>
      <w:r w:rsidR="00F4256E">
        <w:t xml:space="preserve">assigned to capture </w:t>
      </w:r>
      <w:r w:rsidR="00F4256E" w:rsidRPr="00526142">
        <w:t xml:space="preserve">self-categorization theory and the alternative hypothesis below. </w:t>
      </w:r>
      <w:r w:rsidR="00F4256E">
        <w:t>We describe our reasoning for each below.</w:t>
      </w:r>
    </w:p>
    <w:p w14:paraId="533936E7" w14:textId="62C85CD7" w:rsidR="00F4256E" w:rsidRPr="00DD4758" w:rsidRDefault="00F4256E" w:rsidP="00F4256E">
      <w:r w:rsidRPr="00DD4758">
        <w:t xml:space="preserve">According to self-categorization theory, individuals should only follow a supposed ingroup norm if they actually self-identify with that group and should only want to avoid following an outgroup norm when they consider that outgroup as separate from their self-identity. We thus include these interactions in the self-categorization model, as outlined in Equation 2, where </w:t>
      </w:r>
      <w:r w:rsidRPr="00DD4758">
        <w:rPr>
          <w:smallCaps/>
        </w:rPr>
        <w:t xml:space="preserve">ingroup agree </w:t>
      </w:r>
      <w:r w:rsidRPr="00DD4758">
        <w:t>is coded as 1 if the participant report</w:t>
      </w:r>
      <w:r w:rsidR="00D748D0">
        <w:t>s</w:t>
      </w:r>
      <w:r w:rsidRPr="00DD4758">
        <w:t xml:space="preserve"> identifying with the ingroup and 0 otherwise. Equivalent binary coding is used for </w:t>
      </w:r>
      <w:r w:rsidRPr="00DD4758">
        <w:rPr>
          <w:smallCaps/>
        </w:rPr>
        <w:t>outgroup disagree</w:t>
      </w:r>
      <w:r w:rsidR="00D167D0" w:rsidRPr="00DD4758">
        <w:t xml:space="preserve">. </w:t>
      </w:r>
      <w:r w:rsidR="00D167D0" w:rsidRPr="00DD4758">
        <w:rPr>
          <w:smallCaps/>
        </w:rPr>
        <w:t xml:space="preserve"> </w:t>
      </w:r>
    </w:p>
    <w:p w14:paraId="1393343F" w14:textId="14615EDB" w:rsidR="004A3418" w:rsidRPr="00DD4758" w:rsidRDefault="00552062" w:rsidP="00F4256E">
      <w:pPr>
        <w:ind w:firstLine="0"/>
        <w:rPr>
          <w:rFonts w:eastAsiaTheme="minorEastAsia"/>
          <w:smallCaps/>
        </w:rPr>
      </w:pPr>
      <m:oMath>
        <m:func>
          <m:funcPr>
            <m:ctrlPr>
              <w:rPr>
                <w:rFonts w:ascii="Cambria Math" w:eastAsiaTheme="minorEastAsia" w:hAnsi="Cambria Math"/>
                <w:i/>
                <w:smallCaps/>
              </w:rPr>
            </m:ctrlPr>
          </m:funcPr>
          <m:fName>
            <m:sSub>
              <m:sSubPr>
                <m:ctrlPr>
                  <w:rPr>
                    <w:rFonts w:ascii="Cambria Math" w:eastAsiaTheme="minorEastAsia" w:hAnsi="Cambria Math"/>
                    <w:i/>
                    <w:smallCaps/>
                  </w:rPr>
                </m:ctrlPr>
              </m:sSubPr>
              <m:e>
                <m:r>
                  <w:rPr>
                    <w:rFonts w:ascii="Cambria Math" w:eastAsiaTheme="minorEastAsia" w:hAnsi="Cambria Math"/>
                  </w:rPr>
                  <m:t>log</m:t>
                </m:r>
                <m:ctrlPr>
                  <w:rPr>
                    <w:rFonts w:ascii="Cambria Math" w:eastAsiaTheme="minorEastAsia" w:hAnsi="Cambria Math"/>
                    <w:smallCaps/>
                  </w:rPr>
                </m:ctrlPr>
              </m:e>
              <m:sub>
                <m:r>
                  <w:rPr>
                    <w:rFonts w:ascii="Cambria Math" w:eastAsiaTheme="minorEastAsia" w:hAnsi="Cambria Math"/>
                    <w:smallCaps/>
                  </w:rPr>
                  <m:t>e</m:t>
                </m:r>
                <m:ctrlPr>
                  <w:rPr>
                    <w:rFonts w:ascii="Cambria Math" w:eastAsiaTheme="minorEastAsia" w:hAnsi="Cambria Math"/>
                    <w:smallCaps/>
                  </w:rPr>
                </m:ctrlPr>
              </m:sub>
            </m:sSub>
          </m:fName>
          <m:e>
            <m:r>
              <w:rPr>
                <w:rFonts w:ascii="Cambria Math" w:eastAsiaTheme="minorEastAsia" w:hAnsi="Cambria Math"/>
                <w:smallCaps/>
              </w:rPr>
              <m:t>(</m:t>
            </m:r>
            <m:r>
              <m:rPr>
                <m:nor/>
              </m:rPr>
              <w:rPr>
                <w:rFonts w:ascii="Cambria Math" w:eastAsiaTheme="minorEastAsia" w:hAnsi="Cambria Math"/>
              </w:rPr>
              <m:t>odds</m:t>
            </m:r>
            <m:r>
              <w:rPr>
                <w:rFonts w:ascii="Cambria Math" w:eastAsiaTheme="minorEastAsia" w:hAnsi="Cambria Math"/>
              </w:rPr>
              <m:t>)</m:t>
            </m:r>
          </m:e>
        </m:func>
        <m:r>
          <w:rPr>
            <w:rFonts w:ascii="Cambria Math" w:eastAsiaTheme="minorEastAsia" w:hAnsi="Cambria Math"/>
            <w:smallCaps/>
          </w:rPr>
          <m:t>=</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in</m:t>
            </m:r>
          </m:sub>
        </m:sSub>
        <m:r>
          <w:rPr>
            <w:rFonts w:ascii="Cambria Math" w:eastAsiaTheme="minorEastAsia" w:hAnsi="Cambria Math"/>
            <w:smallCaps/>
          </w:rPr>
          <m:t>I×</m:t>
        </m:r>
        <m:r>
          <m:rPr>
            <m:sty m:val="p"/>
          </m:rPr>
          <w:rPr>
            <w:rFonts w:ascii="Cambria Math" w:eastAsiaTheme="minorEastAsia" w:hAnsi="Cambria Math"/>
            <w:smallCaps/>
          </w:rPr>
          <m:t>ingroup agree</m:t>
        </m:r>
        <m:r>
          <w:rPr>
            <w:rFonts w:ascii="Cambria Math" w:eastAsiaTheme="minorEastAsia" w:hAnsi="Cambria Math"/>
            <w:smallCaps/>
          </w:rPr>
          <m:t>+</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both</m:t>
            </m:r>
          </m:sub>
        </m:sSub>
        <m:r>
          <w:rPr>
            <w:rFonts w:ascii="Cambria Math" w:eastAsiaTheme="minorEastAsia" w:hAnsi="Cambria Math"/>
            <w:smallCaps/>
          </w:rPr>
          <m:t>B+</m:t>
        </m:r>
        <m:sSub>
          <m:sSubPr>
            <m:ctrlPr>
              <w:rPr>
                <w:rFonts w:ascii="Cambria Math" w:eastAsiaTheme="minorEastAsia" w:hAnsi="Cambria Math"/>
                <w:i/>
                <w:smallCaps/>
              </w:rPr>
            </m:ctrlPr>
          </m:sSubPr>
          <m:e>
            <m:r>
              <w:rPr>
                <w:rFonts w:ascii="Cambria Math" w:eastAsiaTheme="minorEastAsia" w:hAnsi="Cambria Math"/>
                <w:smallCaps/>
              </w:rPr>
              <m:t>b</m:t>
            </m:r>
          </m:e>
          <m:sub>
            <m:r>
              <w:rPr>
                <w:rFonts w:ascii="Cambria Math" w:eastAsiaTheme="minorEastAsia" w:hAnsi="Cambria Math"/>
                <w:smallCaps/>
              </w:rPr>
              <m:t>out</m:t>
            </m:r>
          </m:sub>
        </m:sSub>
        <m:r>
          <w:rPr>
            <w:rFonts w:ascii="Cambria Math" w:eastAsiaTheme="minorEastAsia" w:hAnsi="Cambria Math"/>
            <w:smallCaps/>
          </w:rPr>
          <m:t>I×B×</m:t>
        </m:r>
        <m:r>
          <m:rPr>
            <m:sty m:val="p"/>
          </m:rPr>
          <w:rPr>
            <w:rFonts w:ascii="Cambria Math" w:eastAsiaTheme="minorEastAsia" w:hAnsi="Cambria Math"/>
            <w:smallCaps/>
          </w:rPr>
          <m:t>outgroup disagree</m:t>
        </m:r>
      </m:oMath>
      <w:r w:rsidR="00F4256E" w:rsidRPr="00DD4758">
        <w:rPr>
          <w:rFonts w:eastAsiaTheme="minorEastAsia"/>
          <w:smallCaps/>
        </w:rPr>
        <w:tab/>
      </w:r>
      <w:r w:rsidR="00F4256E" w:rsidRPr="00DD4758">
        <w:rPr>
          <w:rFonts w:eastAsiaTheme="minorEastAsia"/>
          <w:smallCaps/>
        </w:rPr>
        <w:tab/>
        <w:t>(2)</w:t>
      </w:r>
    </w:p>
    <w:p w14:paraId="07252516" w14:textId="2CDB0199" w:rsidR="004A3418" w:rsidRPr="00F4256E" w:rsidRDefault="004A3418" w:rsidP="004A3418">
      <w:pPr>
        <w:rPr>
          <w:rFonts w:eastAsiaTheme="minorEastAsia"/>
          <w:smallCaps/>
        </w:rPr>
      </w:pPr>
      <w:r w:rsidRPr="00DD4758">
        <w:t xml:space="preserve">The </w:t>
      </w:r>
      <w:r w:rsidRPr="00DD4758">
        <w:rPr>
          <w:smallCaps/>
        </w:rPr>
        <w:t>ingroup agree</w:t>
      </w:r>
      <w:r w:rsidRPr="00DD4758">
        <w:t xml:space="preserve"> and </w:t>
      </w:r>
      <w:r w:rsidRPr="00DD4758">
        <w:rPr>
          <w:smallCaps/>
        </w:rPr>
        <w:t>outgroup disagree</w:t>
      </w:r>
      <w:r w:rsidRPr="00DD4758">
        <w:t xml:space="preserve"> variables effectively act as switches, determining whether the self-categorization model assumes the participant will be affected by the ingroup and outgroup descriptive norms respectively. Scores on these two variables will have no bearing on a participant’s inclusion in the data analysis.  The alternative hypothesis assumes that identification with the group that a descriptive norm comes from does not </w:t>
      </w:r>
      <w:r w:rsidRPr="00DD4758">
        <w:lastRenderedPageBreak/>
        <w:t>influence the effect of that descriptive norm and thus, these variables are ignored by the alternative model.</w:t>
      </w:r>
      <w:r>
        <w:t xml:space="preserve"> </w:t>
      </w:r>
    </w:p>
    <w:p w14:paraId="5F007B09" w14:textId="77777777" w:rsidR="00AD4BB1" w:rsidRPr="00526142" w:rsidRDefault="00AD4BB1" w:rsidP="00552062">
      <w:pPr>
        <w:pStyle w:val="Heading4"/>
        <w:ind w:left="0" w:firstLine="0"/>
      </w:pPr>
      <w:r w:rsidRPr="00526142">
        <w:rPr>
          <w:rFonts w:eastAsiaTheme="minorEastAsia"/>
        </w:rPr>
        <w:t xml:space="preserve">Prior assumptions: </w:t>
      </w:r>
      <w:r w:rsidRPr="0031024C">
        <w:t>b</w:t>
      </w:r>
      <w:r>
        <w:rPr>
          <w:vertAlign w:val="subscript"/>
        </w:rPr>
        <w:t>in</w:t>
      </w:r>
    </w:p>
    <w:p w14:paraId="162FB070" w14:textId="799EC879" w:rsidR="00D167D0" w:rsidRDefault="00AD4BB1" w:rsidP="00D167D0">
      <w:pPr>
        <w:rPr>
          <w:rFonts w:eastAsiaTheme="minorEastAsia"/>
        </w:rPr>
      </w:pPr>
      <w:r w:rsidRPr="00526142">
        <w:t xml:space="preserve">Given the similarity of our ingroup norm </w:t>
      </w:r>
      <w:r>
        <w:t xml:space="preserve">condition </w:t>
      </w:r>
      <w:r w:rsidRPr="00526142">
        <w:t>to the experiments reported in</w:t>
      </w:r>
      <w:r>
        <w:t xml:space="preserve"> </w:t>
      </w:r>
      <w:r>
        <w:fldChar w:fldCharType="begin"/>
      </w:r>
      <w:r>
        <w:instrText xml:space="preserve"> ADDIN EN.CITE &lt;EndNote&gt;&lt;Cite AuthorYear="1"&gt;&lt;Author&gt;Pryor&lt;/Author&gt;&lt;Year&gt;2019&lt;/Year&gt;&lt;RecNum&gt;762&lt;/RecNum&gt;&lt;DisplayText&gt;Pryor, Perfors and Howe [22]&lt;/DisplayText&gt;&lt;record&gt;&lt;rec-number&gt;762&lt;/rec-number&gt;&lt;foreign-keys&gt;&lt;key app="EN" db-id="wtxrwr0zoad2d9etve1ptdss5z5axawz0x52" timestamp="1540520302"&gt;762&lt;/key&gt;&lt;/foreign-keys&gt;&lt;ref-type name="Journal Article"&gt;17&lt;/ref-type&gt;&lt;contributors&gt;&lt;authors&gt;&lt;author&gt;Pryor, Campbell G&lt;/author&gt;&lt;author&gt;Perfors, Amy&lt;/author&gt;&lt;author&gt;Howe, Piers D L&lt;/author&gt;&lt;/authors&gt;&lt;/contributors&gt;&lt;titles&gt;&lt;title&gt;Even arbitrary norms influence moral decision-making&lt;/title&gt;&lt;secondary-title&gt;Nature Human Behaviour&lt;/secondary-title&gt;&lt;/titles&gt;&lt;periodical&gt;&lt;full-title&gt;Nature Human Behaviour&lt;/full-title&gt;&lt;/periodical&gt;&lt;pages&gt;57-62&lt;/pages&gt;&lt;volume&gt;3&lt;/volume&gt;&lt;dates&gt;&lt;year&gt;2019&lt;/year&gt;&lt;/dates&gt;&lt;urls&gt;&lt;/urls&gt;&lt;/record&gt;&lt;/Cite&gt;&lt;/EndNote&gt;</w:instrText>
      </w:r>
      <w:r>
        <w:fldChar w:fldCharType="separate"/>
      </w:r>
      <w:r>
        <w:rPr>
          <w:noProof/>
        </w:rPr>
        <w:t>Pryor, Perfors and Howe [22]</w:t>
      </w:r>
      <w:r>
        <w:fldChar w:fldCharType="end"/>
      </w:r>
      <w:r w:rsidRPr="00526142">
        <w:t xml:space="preserve">, we </w:t>
      </w:r>
      <w:r w:rsidR="00DD4758">
        <w:t>will use</w:t>
      </w:r>
      <w:r w:rsidR="00DD4758" w:rsidRPr="00526142">
        <w:t xml:space="preserve"> </w:t>
      </w:r>
      <w:r w:rsidRPr="00526142">
        <w:t xml:space="preserve">the observed effect of the ingroup norm in those experiments to inform </w:t>
      </w:r>
      <w:r>
        <w:t xml:space="preserve">our prior for the </w:t>
      </w:r>
      <w:r w:rsidRPr="00526142">
        <w:t xml:space="preserve">ingroup norm effect in the current analysis. The log odds ratio estimated across the relevant experiments from </w:t>
      </w:r>
      <w:r w:rsidRPr="00A66037">
        <w:fldChar w:fldCharType="begin"/>
      </w:r>
      <w:r>
        <w:instrText xml:space="preserve"> ADDIN EN.CITE &lt;EndNote&gt;&lt;Cite AuthorYear="1"&gt;&lt;Author&gt;Pryor&lt;/Author&gt;&lt;Year&gt;2019&lt;/Year&gt;&lt;RecNum&gt;762&lt;/RecNum&gt;&lt;DisplayText&gt;Pryor, Perfors and Howe [22]&lt;/DisplayText&gt;&lt;record&gt;&lt;rec-number&gt;762&lt;/rec-number&gt;&lt;foreign-keys&gt;&lt;key app="EN" db-id="wtxrwr0zoad2d9etve1ptdss5z5axawz0x52" timestamp="1540520302"&gt;762&lt;/key&gt;&lt;/foreign-keys&gt;&lt;ref-type name="Journal Article"&gt;17&lt;/ref-type&gt;&lt;contributors&gt;&lt;authors&gt;&lt;author&gt;Pryor, Campbell G&lt;/author&gt;&lt;author&gt;Perfors, Amy&lt;/author&gt;&lt;author&gt;Howe, Piers D L&lt;/author&gt;&lt;/authors&gt;&lt;/contributors&gt;&lt;titles&gt;&lt;title&gt;Even arbitrary norms influence moral decision-making&lt;/title&gt;&lt;secondary-title&gt;Nature Human Behaviour&lt;/secondary-title&gt;&lt;/titles&gt;&lt;periodical&gt;&lt;full-title&gt;Nature Human Behaviour&lt;/full-title&gt;&lt;/periodical&gt;&lt;pages&gt;57-62&lt;/pages&gt;&lt;volume&gt;3&lt;/volume&gt;&lt;dates&gt;&lt;year&gt;2019&lt;/year&gt;&lt;/dates&gt;&lt;urls&gt;&lt;/urls&gt;&lt;/record&gt;&lt;/Cite&gt;&lt;/EndNote&gt;</w:instrText>
      </w:r>
      <w:r w:rsidRPr="00A66037">
        <w:fldChar w:fldCharType="separate"/>
      </w:r>
      <w:r>
        <w:rPr>
          <w:noProof/>
        </w:rPr>
        <w:t>Pryor, Perfors and Howe [22]</w:t>
      </w:r>
      <w:r w:rsidRPr="00A66037">
        <w:fldChar w:fldCharType="end"/>
      </w:r>
      <w:r>
        <w:t xml:space="preserve"> </w:t>
      </w:r>
      <w:r w:rsidRPr="00A66037">
        <w:t>was 1.02 with a standard deviation of 0.</w:t>
      </w:r>
      <w:r w:rsidRPr="00E1417C">
        <w:t>19</w:t>
      </w:r>
      <w:r w:rsidRPr="00526142">
        <w:t xml:space="preserve"> (see </w:t>
      </w:r>
      <w:r>
        <w:t>S2 Text</w:t>
      </w:r>
      <w:r w:rsidRPr="00526142">
        <w:t xml:space="preserve">). A notable difference between those experiments and the norms </w:t>
      </w:r>
      <w:r w:rsidR="00DD4758">
        <w:t>that will be presented in the current experiment</w:t>
      </w:r>
      <w:r w:rsidRPr="00526142">
        <w:t xml:space="preserve"> is that the previous experiments presented a stronger </w:t>
      </w:r>
      <w:r w:rsidRPr="00E1417C">
        <w:t xml:space="preserve">ingroup </w:t>
      </w:r>
      <w:r w:rsidRPr="00526142">
        <w:t xml:space="preserve">norm (75% of ingroup did X) than the current experiment (60% of ingroup did X). To adjust for this difference and account for increased uncertainty in this parameter estimate, we </w:t>
      </w:r>
      <w:r w:rsidR="00DD4758">
        <w:t>will set</w:t>
      </w:r>
      <w:r w:rsidRPr="00526142">
        <w:t xml:space="preserve"> the prior distribution for the effect of the ingroup norm to be a folded normal distribution with a mean of</w:t>
      </w:r>
      <w:r>
        <w:t xml:space="preserve"> </w:t>
      </w:r>
      <m:oMath>
        <m:f>
          <m:fPr>
            <m:ctrlPr>
              <w:rPr>
                <w:rFonts w:ascii="Cambria Math" w:hAnsi="Cambria Math"/>
                <w:i/>
              </w:rPr>
            </m:ctrlPr>
          </m:fPr>
          <m:num>
            <m:r>
              <w:rPr>
                <w:rFonts w:ascii="Cambria Math" w:hAnsi="Cambria Math"/>
              </w:rPr>
              <m:t>0.6</m:t>
            </m:r>
          </m:num>
          <m:den>
            <m:r>
              <w:rPr>
                <w:rFonts w:ascii="Cambria Math" w:hAnsi="Cambria Math"/>
              </w:rPr>
              <m:t>0.75</m:t>
            </m:r>
          </m:den>
        </m:f>
        <m:r>
          <w:rPr>
            <w:rFonts w:ascii="Cambria Math" w:hAnsi="Cambria Math"/>
          </w:rPr>
          <m:t>×1.02=0.816</m:t>
        </m:r>
      </m:oMath>
      <w:r w:rsidRPr="00526142">
        <w:rPr>
          <w:rFonts w:eastAsiaTheme="minorEastAsia"/>
        </w:rPr>
        <w:t xml:space="preserve">, and a standard deviation of 0.5 for both the self-categorization and alternative models. Given both models assume that ingroup norms will shift responses towards the options favoured by the ingroup norm (i.e. the effect of the ingroup norm will be positive), we </w:t>
      </w:r>
      <w:r w:rsidR="00DD4758">
        <w:rPr>
          <w:rFonts w:eastAsiaTheme="minorEastAsia"/>
        </w:rPr>
        <w:t>fold</w:t>
      </w:r>
      <w:r w:rsidRPr="00526142">
        <w:rPr>
          <w:rFonts w:eastAsiaTheme="minorEastAsia"/>
        </w:rPr>
        <w:t xml:space="preserve"> this normal distribution such </w:t>
      </w:r>
      <w:r>
        <w:rPr>
          <w:rFonts w:eastAsiaTheme="minorEastAsia"/>
        </w:rPr>
        <w:t>that the prior</w:t>
      </w:r>
      <w:r w:rsidRPr="00526142">
        <w:rPr>
          <w:rFonts w:eastAsiaTheme="minorEastAsia"/>
        </w:rPr>
        <w:t xml:space="preserve"> </w:t>
      </w:r>
      <w:r w:rsidR="00DD4758">
        <w:rPr>
          <w:rFonts w:eastAsiaTheme="minorEastAsia"/>
        </w:rPr>
        <w:t>is</w:t>
      </w:r>
      <w:r w:rsidRPr="00526142">
        <w:rPr>
          <w:rFonts w:eastAsiaTheme="minorEastAsia"/>
        </w:rPr>
        <w:t xml:space="preserve"> restricted to be greater than 0. </w:t>
      </w:r>
    </w:p>
    <w:p w14:paraId="45A9F36D" w14:textId="77777777" w:rsidR="00AD4BB1" w:rsidRPr="00526142" w:rsidRDefault="00AD4BB1" w:rsidP="001214EF">
      <w:pPr>
        <w:pStyle w:val="Heading4"/>
        <w:ind w:left="0" w:firstLine="0"/>
        <w:rPr>
          <w:rFonts w:eastAsiaTheme="minorEastAsia"/>
        </w:rPr>
      </w:pPr>
      <w:r w:rsidRPr="00526142">
        <w:rPr>
          <w:rFonts w:eastAsiaTheme="minorEastAsia"/>
        </w:rPr>
        <w:t xml:space="preserve">Prior assumptions: </w:t>
      </w:r>
      <w:proofErr w:type="spellStart"/>
      <w:r w:rsidRPr="0031024C">
        <w:t>b</w:t>
      </w:r>
      <w:r w:rsidRPr="0031024C">
        <w:rPr>
          <w:vertAlign w:val="subscript"/>
        </w:rPr>
        <w:t>both</w:t>
      </w:r>
      <w:proofErr w:type="spellEnd"/>
    </w:p>
    <w:p w14:paraId="23EC6CFF" w14:textId="019CBC3C" w:rsidR="00AD4BB1" w:rsidRPr="00526142" w:rsidRDefault="00AD4BB1" w:rsidP="00AD4BB1">
      <w:pPr>
        <w:rPr>
          <w:rFonts w:eastAsiaTheme="minorEastAsia"/>
        </w:rPr>
      </w:pPr>
      <w:r w:rsidRPr="00526142">
        <w:t xml:space="preserve">The parameter </w:t>
      </w:r>
      <m:oMath>
        <m:sSub>
          <m:sSubPr>
            <m:ctrlPr>
              <w:rPr>
                <w:rFonts w:ascii="Cambria Math" w:hAnsi="Cambria Math"/>
                <w:i/>
              </w:rPr>
            </m:ctrlPr>
          </m:sSubPr>
          <m:e>
            <m:r>
              <w:rPr>
                <w:rFonts w:ascii="Cambria Math" w:hAnsi="Cambria Math"/>
              </w:rPr>
              <m:t>b</m:t>
            </m:r>
          </m:e>
          <m:sub>
            <m:r>
              <w:rPr>
                <w:rFonts w:ascii="Cambria Math" w:hAnsi="Cambria Math"/>
              </w:rPr>
              <m:t>both</m:t>
            </m:r>
          </m:sub>
        </m:sSub>
      </m:oMath>
      <w:r w:rsidRPr="00526142">
        <w:rPr>
          <w:rFonts w:eastAsiaTheme="minorEastAsia"/>
        </w:rPr>
        <w:t xml:space="preserve"> represents a possible main effect on responses of merely presenting both an ingroup and outgroup norm compared to only an ingroup norm, independent of the direction of those norms. Including this effect in the models is important as it allows for the possibility that the outgroup norm is more effective in one direction than in another. It also allows for the possibility that being presented with two opposing norms shifts people’s bias. For example, the increased ambiguity caused by having opposing norms presented may elicit an omission bias </w:t>
      </w:r>
      <w:r w:rsidRPr="00526142">
        <w:rPr>
          <w:rFonts w:eastAsiaTheme="minorEastAsia"/>
        </w:rPr>
        <w:fldChar w:fldCharType="begin"/>
      </w:r>
      <w:r>
        <w:rPr>
          <w:rFonts w:eastAsiaTheme="minorEastAsia"/>
        </w:rPr>
        <w:instrText xml:space="preserve"> ADDIN EN.CITE &lt;EndNote&gt;&lt;Cite&gt;&lt;Author&gt;Ritov&lt;/Author&gt;&lt;Year&gt;1990&lt;/Year&gt;&lt;RecNum&gt;711&lt;/RecNum&gt;&lt;DisplayText&gt;[28]&lt;/DisplayText&gt;&lt;record&gt;&lt;rec-number&gt;711&lt;/rec-number&gt;&lt;foreign-keys&gt;&lt;key app="EN" db-id="wtxrwr0zoad2d9etve1ptdss5z5axawz0x52" timestamp="1528247841"&gt;711&lt;/key&gt;&lt;/foreign-keys&gt;&lt;ref-type name="Journal Article"&gt;17&lt;/ref-type&gt;&lt;contributors&gt;&lt;authors&gt;&lt;author&gt;Ritov, Ilana&lt;/author&gt;&lt;author&gt;Baron, Jonathan&lt;/author&gt;&lt;/authors&gt;&lt;/contributors&gt;&lt;titles&gt;&lt;title&gt;Reluctance to vaccinate: Omission bias and ambiguity&lt;/title&gt;&lt;secondary-title&gt;Journal of Behavioral Decision Making&lt;/secondary-title&gt;&lt;/titles&gt;&lt;periodical&gt;&lt;full-title&gt;Journal of Behavioral Decision Making&lt;/full-title&gt;&lt;/periodical&gt;&lt;pages&gt;263-277&lt;/pages&gt;&lt;volume&gt;3&lt;/volume&gt;&lt;number&gt;4&lt;/number&gt;&lt;dates&gt;&lt;year&gt;1990&lt;/year&gt;&lt;/dates&gt;&lt;isbn&gt;1099-0771&lt;/isbn&gt;&lt;urls&gt;&lt;/urls&gt;&lt;/record&gt;&lt;/Cite&gt;&lt;/EndNote&gt;</w:instrText>
      </w:r>
      <w:r w:rsidRPr="00526142">
        <w:rPr>
          <w:rFonts w:eastAsiaTheme="minorEastAsia"/>
        </w:rPr>
        <w:fldChar w:fldCharType="separate"/>
      </w:r>
      <w:r>
        <w:rPr>
          <w:rFonts w:eastAsiaTheme="minorEastAsia"/>
          <w:noProof/>
        </w:rPr>
        <w:t>[28]</w:t>
      </w:r>
      <w:r w:rsidRPr="00526142">
        <w:rPr>
          <w:rFonts w:eastAsiaTheme="minorEastAsia"/>
        </w:rPr>
        <w:fldChar w:fldCharType="end"/>
      </w:r>
      <w:r w:rsidRPr="00526142">
        <w:rPr>
          <w:rFonts w:eastAsiaTheme="minorEastAsia"/>
        </w:rPr>
        <w:t>, wherein taking no action (i.e. not reporting the robber) is favoured more often, independent of the actual direction of the norms. Given</w:t>
      </w:r>
      <w:r>
        <w:rPr>
          <w:rFonts w:eastAsiaTheme="minorEastAsia"/>
        </w:rPr>
        <w:t xml:space="preserve"> that the</w:t>
      </w:r>
      <w:r w:rsidRPr="00526142">
        <w:rPr>
          <w:rFonts w:eastAsiaTheme="minorEastAsia"/>
        </w:rPr>
        <w:t xml:space="preserve"> presentation of the outgroup norm </w:t>
      </w:r>
      <w:r w:rsidR="00DD4758">
        <w:rPr>
          <w:rFonts w:eastAsiaTheme="minorEastAsia"/>
        </w:rPr>
        <w:t>will be</w:t>
      </w:r>
      <w:r w:rsidRPr="00526142">
        <w:rPr>
          <w:rFonts w:eastAsiaTheme="minorEastAsia"/>
        </w:rPr>
        <w:t xml:space="preserve"> independent of the direction of either norm, we </w:t>
      </w:r>
      <w:r>
        <w:rPr>
          <w:rFonts w:eastAsiaTheme="minorEastAsia"/>
        </w:rPr>
        <w:t>have</w:t>
      </w:r>
      <w:r w:rsidRPr="00526142">
        <w:rPr>
          <w:rFonts w:eastAsiaTheme="minorEastAsia"/>
        </w:rPr>
        <w:t xml:space="preserve"> no</w:t>
      </w:r>
      <w:r w:rsidRPr="00E1417C">
        <w:rPr>
          <w:rFonts w:eastAsiaTheme="minorEastAsia"/>
        </w:rPr>
        <w:t xml:space="preserve"> clear,</w:t>
      </w:r>
      <w:r w:rsidRPr="00526142">
        <w:rPr>
          <w:rFonts w:eastAsiaTheme="minorEastAsia"/>
        </w:rPr>
        <w:t xml:space="preserve"> theoretical reason to predict a strong systematic effect in either direction </w:t>
      </w:r>
      <w:r>
        <w:rPr>
          <w:rFonts w:eastAsiaTheme="minorEastAsia"/>
        </w:rPr>
        <w:t>due</w:t>
      </w:r>
      <w:r w:rsidRPr="00526142">
        <w:rPr>
          <w:rFonts w:eastAsiaTheme="minorEastAsia"/>
        </w:rPr>
        <w:t xml:space="preserve"> </w:t>
      </w:r>
      <w:r>
        <w:rPr>
          <w:rFonts w:eastAsiaTheme="minorEastAsia"/>
        </w:rPr>
        <w:t xml:space="preserve">to </w:t>
      </w:r>
      <w:r w:rsidRPr="00526142">
        <w:rPr>
          <w:rFonts w:eastAsiaTheme="minorEastAsia"/>
        </w:rPr>
        <w:t xml:space="preserve">merely presenting an outgroup norm, independent of that norm’s direction. Thus, the self-categorization and the alternative model </w:t>
      </w:r>
      <w:r w:rsidR="00DD4758">
        <w:rPr>
          <w:rFonts w:eastAsiaTheme="minorEastAsia"/>
        </w:rPr>
        <w:t>both will</w:t>
      </w:r>
      <w:r w:rsidRPr="00526142">
        <w:rPr>
          <w:rFonts w:eastAsiaTheme="minorEastAsia"/>
        </w:rPr>
        <w:t xml:space="preserve"> adopt a weakly informative prior for</w:t>
      </w:r>
      <w:r>
        <w:rPr>
          <w:rFonts w:eastAsiaTheme="minorEastAsia"/>
        </w:rPr>
        <w:t xml:space="preserve"> </w:t>
      </w:r>
      <w:proofErr w:type="spellStart"/>
      <w:r>
        <w:rPr>
          <w:i/>
        </w:rPr>
        <w:t>b</w:t>
      </w:r>
      <w:r>
        <w:rPr>
          <w:i/>
          <w:vertAlign w:val="subscript"/>
        </w:rPr>
        <w:t>both</w:t>
      </w:r>
      <w:proofErr w:type="spellEnd"/>
      <w:r w:rsidRPr="00526142">
        <w:rPr>
          <w:rFonts w:eastAsiaTheme="minorEastAsia"/>
        </w:rPr>
        <w:t>, represented by a normal distribution with a mean of 0 and standard deviation of 0.5.</w:t>
      </w:r>
    </w:p>
    <w:p w14:paraId="401E48A8" w14:textId="77777777" w:rsidR="00AD4BB1" w:rsidRPr="00526142" w:rsidRDefault="00AD4BB1" w:rsidP="001214EF">
      <w:pPr>
        <w:pStyle w:val="Heading4"/>
        <w:ind w:left="0" w:firstLine="0"/>
        <w:rPr>
          <w:rFonts w:eastAsiaTheme="minorEastAsia"/>
        </w:rPr>
      </w:pPr>
      <w:bookmarkStart w:id="0" w:name="_Hlk513803810"/>
      <w:r w:rsidRPr="00526142">
        <w:rPr>
          <w:rFonts w:eastAsiaTheme="minorEastAsia"/>
        </w:rPr>
        <w:lastRenderedPageBreak/>
        <w:t>Prior assumptions:</w:t>
      </w:r>
      <w:r w:rsidRPr="00EE64F8">
        <w:rPr>
          <w:rFonts w:eastAsiaTheme="minorEastAsia"/>
        </w:rPr>
        <w:t xml:space="preserve"> </w:t>
      </w:r>
      <w:r w:rsidRPr="003F372C">
        <w:t>b</w:t>
      </w:r>
      <w:r>
        <w:rPr>
          <w:vertAlign w:val="subscript"/>
        </w:rPr>
        <w:t>out</w:t>
      </w:r>
    </w:p>
    <w:p w14:paraId="19316168" w14:textId="77777777" w:rsidR="00667F30" w:rsidRDefault="00AD4BB1" w:rsidP="00AD4BB1">
      <w:pPr>
        <w:rPr>
          <w:rFonts w:eastAsiaTheme="minorEastAsia"/>
        </w:rPr>
      </w:pPr>
      <w:r w:rsidRPr="00526142">
        <w:t xml:space="preserve">The parameter </w:t>
      </w:r>
      <w:r>
        <w:rPr>
          <w:i/>
        </w:rPr>
        <w:t>b</w:t>
      </w:r>
      <w:r>
        <w:rPr>
          <w:i/>
          <w:vertAlign w:val="subscript"/>
        </w:rPr>
        <w:t>out</w:t>
      </w:r>
      <w:bookmarkStart w:id="1" w:name="_GoBack"/>
      <w:bookmarkEnd w:id="1"/>
      <w:r>
        <w:rPr>
          <w:i/>
        </w:rPr>
        <w:t xml:space="preserve"> </w:t>
      </w:r>
      <w:r w:rsidRPr="00526142">
        <w:rPr>
          <w:rFonts w:eastAsiaTheme="minorEastAsia"/>
        </w:rPr>
        <w:t xml:space="preserve">is the key manner in which the self-categorization explanation of the descriptive norm effect differs from </w:t>
      </w:r>
      <w:r>
        <w:rPr>
          <w:rFonts w:eastAsiaTheme="minorEastAsia"/>
        </w:rPr>
        <w:t xml:space="preserve">that of </w:t>
      </w:r>
      <w:r w:rsidRPr="00526142">
        <w:rPr>
          <w:rFonts w:eastAsiaTheme="minorEastAsia"/>
        </w:rPr>
        <w:t>the alternative hypothesis that people follow the overall</w:t>
      </w:r>
      <w:r>
        <w:rPr>
          <w:rFonts w:eastAsiaTheme="minorEastAsia"/>
        </w:rPr>
        <w:t xml:space="preserve"> descriptive</w:t>
      </w:r>
      <w:r w:rsidRPr="00526142">
        <w:rPr>
          <w:rFonts w:eastAsiaTheme="minorEastAsia"/>
        </w:rPr>
        <w:t xml:space="preserve"> norm. This parameter represent</w:t>
      </w:r>
      <w:r>
        <w:rPr>
          <w:rFonts w:eastAsiaTheme="minorEastAsia"/>
        </w:rPr>
        <w:t>s</w:t>
      </w:r>
      <w:r w:rsidRPr="00526142">
        <w:rPr>
          <w:rFonts w:eastAsiaTheme="minorEastAsia"/>
        </w:rPr>
        <w:t xml:space="preserve"> the extent to which presenting an outgroup norm that </w:t>
      </w:r>
      <w:r>
        <w:rPr>
          <w:rFonts w:eastAsiaTheme="minorEastAsia"/>
        </w:rPr>
        <w:t>is</w:t>
      </w:r>
      <w:r w:rsidRPr="00526142">
        <w:rPr>
          <w:rFonts w:eastAsiaTheme="minorEastAsia"/>
        </w:rPr>
        <w:t xml:space="preserve"> opposite to the ingroup norm shift</w:t>
      </w:r>
      <w:r>
        <w:rPr>
          <w:rFonts w:eastAsiaTheme="minorEastAsia"/>
        </w:rPr>
        <w:t>s</w:t>
      </w:r>
      <w:r w:rsidRPr="00526142">
        <w:rPr>
          <w:rFonts w:eastAsiaTheme="minorEastAsia"/>
        </w:rPr>
        <w:t xml:space="preserve"> preferences towards or away from the option favoured by the ingroup norm. </w:t>
      </w:r>
    </w:p>
    <w:p w14:paraId="64D61C96" w14:textId="64A7ECB9" w:rsidR="00AD4BB1" w:rsidRPr="00526142" w:rsidRDefault="00AD4BB1" w:rsidP="00AD4BB1">
      <w:pPr>
        <w:rPr>
          <w:rFonts w:eastAsiaTheme="minorEastAsia"/>
        </w:rPr>
      </w:pPr>
      <w:r w:rsidRPr="00526142">
        <w:rPr>
          <w:rFonts w:eastAsiaTheme="minorEastAsia"/>
        </w:rPr>
        <w:t>For self-categorization theory, presenting an outgroup norm that opposes the ingroup norm is expected to increase conformity with the ingroup norm. We represent this with a normally-distributed prior that is restricted to be greater than 0 (specifically a half-normal distribution with a mean of 0 and standard deviation of 0.5)</w:t>
      </w:r>
      <w:r>
        <w:rPr>
          <w:rFonts w:eastAsiaTheme="minorEastAsia"/>
        </w:rPr>
        <w:t>.</w:t>
      </w:r>
    </w:p>
    <w:bookmarkEnd w:id="0"/>
    <w:p w14:paraId="0513923E" w14:textId="30F794B1" w:rsidR="00AD4BB1" w:rsidRPr="00526142" w:rsidRDefault="00AD4BB1" w:rsidP="00AD4BB1">
      <w:pPr>
        <w:rPr>
          <w:rFonts w:eastAsiaTheme="minorEastAsia"/>
        </w:rPr>
      </w:pPr>
      <w:r>
        <w:t>Contrasting with self-categorization theory</w:t>
      </w:r>
      <w:r w:rsidRPr="00526142">
        <w:t xml:space="preserve">, the alternative hypothesis assumes that people care about the overall norm, regardless of whether it comes from an ingroup or outgroup. </w:t>
      </w:r>
      <w:r>
        <w:t>Under it</w:t>
      </w:r>
      <w:r w:rsidRPr="00526142">
        <w:t xml:space="preserve">, ingroup and outgroup norms </w:t>
      </w:r>
      <w:r>
        <w:t>are</w:t>
      </w:r>
      <w:r w:rsidRPr="00526142">
        <w:t xml:space="preserve"> assumed to affect preferences equivalently, only differing to the extent that the strength of these norms differ. Given</w:t>
      </w:r>
      <w:r>
        <w:t xml:space="preserve"> that</w:t>
      </w:r>
      <w:r w:rsidRPr="00526142">
        <w:t xml:space="preserve"> our outgroup norm w</w:t>
      </w:r>
      <w:r>
        <w:t>ill</w:t>
      </w:r>
      <w:r w:rsidRPr="00526142">
        <w:t xml:space="preserve"> always </w:t>
      </w:r>
      <w:r>
        <w:t xml:space="preserve">be </w:t>
      </w:r>
      <w:r w:rsidRPr="00526142">
        <w:t xml:space="preserve">opposite to the ingroup norm and stronger (85% of the outgroup </w:t>
      </w:r>
      <w:r>
        <w:t>are</w:t>
      </w:r>
      <w:r w:rsidRPr="00526142">
        <w:t xml:space="preserve"> said to be allocated to imagine performing the same action compared to 60% for the ingroup), we represent this expectation by setting</w:t>
      </w:r>
      <w:r>
        <w:t xml:space="preserve"> </w:t>
      </w:r>
      <w:r>
        <w:rPr>
          <w:i/>
        </w:rPr>
        <w:t>b</w:t>
      </w:r>
      <w:r w:rsidRPr="00722BBD">
        <w:rPr>
          <w:i/>
          <w:vertAlign w:val="subscript"/>
        </w:rPr>
        <w:t>out</w:t>
      </w:r>
      <w:r>
        <w:rPr>
          <w:i/>
        </w:rPr>
        <w:t xml:space="preserve"> </w:t>
      </w:r>
      <w:r>
        <w:rPr>
          <w:rFonts w:eastAsiaTheme="minorEastAsia"/>
        </w:rPr>
        <w:t xml:space="preserve">to be a transformation of </w:t>
      </w:r>
      <w:r>
        <w:rPr>
          <w:i/>
        </w:rPr>
        <w:t>b</w:t>
      </w:r>
      <w:r>
        <w:rPr>
          <w:i/>
          <w:vertAlign w:val="subscript"/>
        </w:rPr>
        <w:t>in</w:t>
      </w:r>
      <w:r>
        <w:rPr>
          <w:rFonts w:eastAsiaTheme="minorEastAsia"/>
        </w:rPr>
        <w:t>, such that</w:t>
      </w:r>
      <w:r w:rsidRPr="00526142">
        <w:t xml:space="preserve"> </w:t>
      </w:r>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0.85</m:t>
                </m:r>
              </m:num>
              <m:den>
                <m:r>
                  <w:rPr>
                    <w:rFonts w:ascii="Cambria Math" w:hAnsi="Cambria Math"/>
                  </w:rPr>
                  <m:t>0.6</m:t>
                </m:r>
              </m:den>
            </m:f>
            <m:r>
              <w:rPr>
                <w:rFonts w:ascii="Cambria Math" w:hAnsi="Cambria Math"/>
              </w:rPr>
              <m:t>b</m:t>
            </m:r>
          </m:e>
          <m:sub>
            <m:r>
              <w:rPr>
                <w:rFonts w:ascii="Cambria Math" w:hAnsi="Cambria Math"/>
              </w:rPr>
              <m:t>in</m:t>
            </m:r>
          </m:sub>
        </m:sSub>
      </m:oMath>
      <w:r w:rsidRPr="00526142">
        <w:rPr>
          <w:rFonts w:eastAsiaTheme="minorEastAsia"/>
        </w:rPr>
        <w:t xml:space="preserve">. </w:t>
      </w:r>
    </w:p>
    <w:p w14:paraId="447FE75A" w14:textId="77777777" w:rsidR="00AD4BB1" w:rsidRPr="00526142" w:rsidRDefault="00AD4BB1" w:rsidP="001214EF">
      <w:pPr>
        <w:pStyle w:val="Heading4"/>
        <w:ind w:left="0" w:firstLine="0"/>
      </w:pPr>
      <w:r w:rsidRPr="00526142">
        <w:t>Model comparison</w:t>
      </w:r>
    </w:p>
    <w:p w14:paraId="00133594" w14:textId="47849D9C" w:rsidR="00AD4BB1" w:rsidRPr="00526142" w:rsidRDefault="00AD4BB1" w:rsidP="00AD4BB1">
      <w:r w:rsidRPr="00526142">
        <w:t xml:space="preserve">We </w:t>
      </w:r>
      <w:r>
        <w:t xml:space="preserve">will assess </w:t>
      </w:r>
      <w:r w:rsidRPr="00526142">
        <w:t>the relative evidence for the self-categorization model and the alternative model provided by the data using a Bayes Factor (BF) calculated with the “Bridge Sampling” package in R. This Bayes Factor represent</w:t>
      </w:r>
      <w:r>
        <w:t>s</w:t>
      </w:r>
      <w:r w:rsidRPr="00526142">
        <w:t xml:space="preserve"> the probability of the observed data occurring under the alternative model relative to the probability of the observed data occurring under the self-categorization model</w:t>
      </w:r>
      <w:r>
        <w:t>.</w:t>
      </w:r>
      <w:r w:rsidRPr="00526142">
        <w:t xml:space="preserve"> Specifically,</w:t>
      </w:r>
    </w:p>
    <w:p w14:paraId="7BFB1400" w14:textId="437AD7D8" w:rsidR="00AD4BB1" w:rsidRPr="00AD4BB1" w:rsidRDefault="00AD4BB1" w:rsidP="00AD4BB1">
      <w:pPr>
        <w:rPr>
          <w:rFonts w:eastAsiaTheme="minorEastAsia"/>
        </w:rPr>
      </w:pPr>
      <m:oMathPara>
        <m:oMath>
          <m:r>
            <w:rPr>
              <w:rFonts w:ascii="Cambria Math" w:hAnsi="Cambria Math"/>
            </w:rPr>
            <m:t>BF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data</m:t>
                  </m:r>
                </m:e>
                <m:e>
                  <m:r>
                    <m:rPr>
                      <m:nor/>
                    </m:rPr>
                    <w:rPr>
                      <w:rFonts w:ascii="Cambria Math" w:eastAsiaTheme="minorEastAsia" w:hAnsi="Cambria Math"/>
                    </w:rPr>
                    <m:t>alternative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data</m:t>
                  </m:r>
                </m:e>
                <m:e>
                  <m:r>
                    <m:rPr>
                      <m:nor/>
                    </m:rPr>
                    <w:rPr>
                      <w:rFonts w:ascii="Cambria Math" w:eastAsiaTheme="minorEastAsia" w:hAnsi="Cambria Math"/>
                    </w:rPr>
                    <m:t>self-categorization</m:t>
                  </m:r>
                </m:e>
              </m:d>
            </m:den>
          </m:f>
        </m:oMath>
      </m:oMathPara>
    </w:p>
    <w:p w14:paraId="5AB75554" w14:textId="77777777" w:rsidR="00AD4BB1" w:rsidRPr="00526142" w:rsidRDefault="00AD4BB1" w:rsidP="00AD4BB1">
      <w:pPr>
        <w:rPr>
          <w:rFonts w:eastAsiaTheme="minorEastAsia"/>
        </w:rPr>
      </w:pPr>
    </w:p>
    <w:p w14:paraId="79DB370B" w14:textId="1C82BC73" w:rsidR="00AD4BB1" w:rsidRPr="00526142" w:rsidRDefault="00AD4BB1" w:rsidP="00AD4BB1"/>
    <w:p w14:paraId="3E426DB0" w14:textId="4405C170" w:rsidR="00161063" w:rsidRDefault="00161063"/>
    <w:sectPr w:rsidR="0016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B1"/>
    <w:rsid w:val="00016292"/>
    <w:rsid w:val="000E2AB8"/>
    <w:rsid w:val="001214EF"/>
    <w:rsid w:val="00161063"/>
    <w:rsid w:val="00453405"/>
    <w:rsid w:val="004A3418"/>
    <w:rsid w:val="00552062"/>
    <w:rsid w:val="005D4AAF"/>
    <w:rsid w:val="00667F30"/>
    <w:rsid w:val="00AD4BB1"/>
    <w:rsid w:val="00BE6E90"/>
    <w:rsid w:val="00D167D0"/>
    <w:rsid w:val="00D233B1"/>
    <w:rsid w:val="00D4633B"/>
    <w:rsid w:val="00D748D0"/>
    <w:rsid w:val="00DD4758"/>
    <w:rsid w:val="00F425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6D73"/>
  <w15:chartTrackingRefBased/>
  <w15:docId w15:val="{68577CAE-D605-4A4E-8D81-2A90C009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BB1"/>
    <w:pPr>
      <w:spacing w:line="360" w:lineRule="auto"/>
      <w:ind w:firstLine="720"/>
    </w:pPr>
    <w:rPr>
      <w:rFonts w:ascii="Times New Roman" w:hAnsi="Times New Roman"/>
      <w:sz w:val="24"/>
    </w:rPr>
  </w:style>
  <w:style w:type="paragraph" w:styleId="Heading4">
    <w:name w:val="heading 4"/>
    <w:basedOn w:val="Normal"/>
    <w:next w:val="Normal"/>
    <w:link w:val="Heading4Char"/>
    <w:uiPriority w:val="9"/>
    <w:semiHidden/>
    <w:unhideWhenUsed/>
    <w:qFormat/>
    <w:rsid w:val="00AD4BB1"/>
    <w:pPr>
      <w:keepNext/>
      <w:keepLines/>
      <w:spacing w:before="40" w:after="0"/>
      <w:ind w:left="7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D4BB1"/>
    <w:rPr>
      <w:rFonts w:ascii="Times New Roman" w:eastAsiaTheme="majorEastAsia" w:hAnsi="Times New Roman" w:cstheme="majorBidi"/>
      <w:b/>
      <w:i/>
      <w:iCs/>
      <w:sz w:val="24"/>
    </w:rPr>
  </w:style>
  <w:style w:type="paragraph" w:styleId="BalloonText">
    <w:name w:val="Balloon Text"/>
    <w:basedOn w:val="Normal"/>
    <w:link w:val="BalloonTextChar"/>
    <w:uiPriority w:val="99"/>
    <w:semiHidden/>
    <w:unhideWhenUsed/>
    <w:rsid w:val="00D16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7D0"/>
    <w:rPr>
      <w:rFonts w:ascii="Segoe UI" w:hAnsi="Segoe UI" w:cs="Segoe UI"/>
      <w:sz w:val="18"/>
      <w:szCs w:val="18"/>
    </w:rPr>
  </w:style>
  <w:style w:type="character" w:styleId="CommentReference">
    <w:name w:val="annotation reference"/>
    <w:basedOn w:val="DefaultParagraphFont"/>
    <w:uiPriority w:val="99"/>
    <w:semiHidden/>
    <w:unhideWhenUsed/>
    <w:rsid w:val="00D233B1"/>
    <w:rPr>
      <w:sz w:val="16"/>
      <w:szCs w:val="16"/>
    </w:rPr>
  </w:style>
  <w:style w:type="paragraph" w:styleId="CommentText">
    <w:name w:val="annotation text"/>
    <w:basedOn w:val="Normal"/>
    <w:link w:val="CommentTextChar"/>
    <w:uiPriority w:val="99"/>
    <w:semiHidden/>
    <w:unhideWhenUsed/>
    <w:rsid w:val="00D233B1"/>
    <w:pPr>
      <w:spacing w:line="240" w:lineRule="auto"/>
    </w:pPr>
    <w:rPr>
      <w:sz w:val="20"/>
      <w:szCs w:val="20"/>
    </w:rPr>
  </w:style>
  <w:style w:type="character" w:customStyle="1" w:styleId="CommentTextChar">
    <w:name w:val="Comment Text Char"/>
    <w:basedOn w:val="DefaultParagraphFont"/>
    <w:link w:val="CommentText"/>
    <w:uiPriority w:val="99"/>
    <w:semiHidden/>
    <w:rsid w:val="00D233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33B1"/>
    <w:rPr>
      <w:b/>
      <w:bCs/>
    </w:rPr>
  </w:style>
  <w:style w:type="character" w:customStyle="1" w:styleId="CommentSubjectChar">
    <w:name w:val="Comment Subject Char"/>
    <w:basedOn w:val="CommentTextChar"/>
    <w:link w:val="CommentSubject"/>
    <w:uiPriority w:val="99"/>
    <w:semiHidden/>
    <w:rsid w:val="00D233B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pryor</dc:creator>
  <cp:keywords/>
  <dc:description/>
  <cp:lastModifiedBy>campbell pryor</cp:lastModifiedBy>
  <cp:revision>5</cp:revision>
  <dcterms:created xsi:type="dcterms:W3CDTF">2019-03-18T02:55:00Z</dcterms:created>
  <dcterms:modified xsi:type="dcterms:W3CDTF">2019-03-24T02:07:00Z</dcterms:modified>
</cp:coreProperties>
</file>