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35E17F">
      <w:pPr>
        <w:pStyle w:val="style0"/>
        <w:widowControl/>
        <w:shd w:val="clear" w:color="auto" w:fill="ffffff"/>
        <w:spacing w:lineRule="atLeast" w:line="360"/>
        <w:ind w:firstLine="426"/>
        <w:jc w:val="center"/>
        <w:rPr>
          <w:rFonts w:ascii="华文中宋" w:cs="Arial" w:eastAsia="华文中宋" w:hAnsi="华文中宋"/>
          <w:color w:val="333333"/>
          <w:kern w:val="0"/>
          <w:sz w:val="52"/>
          <w:szCs w:val="52"/>
        </w:rPr>
      </w:pPr>
      <w:r>
        <w:rPr>
          <w:rFonts w:ascii="华文中宋" w:cs="Arial" w:eastAsia="华文中宋" w:hAnsi="华文中宋" w:hint="eastAsia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pStyle w:val="style0"/>
        <w:widowControl/>
        <w:shd w:val="clear" w:color="auto" w:fill="ffffff"/>
        <w:spacing w:lineRule="atLeast" w:line="360"/>
        <w:ind w:firstLine="1040"/>
        <w:jc w:val="center"/>
        <w:rPr>
          <w:rFonts w:ascii="华文中宋" w:cs="Arial" w:eastAsia="华文中宋" w:hAnsi="华文中宋"/>
          <w:color w:val="333333"/>
          <w:kern w:val="0"/>
          <w:szCs w:val="21"/>
        </w:rPr>
      </w:pPr>
    </w:p>
    <w:p w14:paraId="7B244A85">
      <w:pPr>
        <w:pStyle w:val="style0"/>
        <w:widowControl/>
        <w:shd w:val="clear" w:color="auto" w:fill="ffffff"/>
        <w:spacing w:lineRule="atLeast" w:line="360"/>
        <w:ind w:firstLine="420"/>
        <w:jc w:val="center"/>
        <w:rPr>
          <w:rFonts w:ascii="Arial" w:cs="Arial" w:eastAsia="宋体" w:hAnsi="Arial"/>
          <w:color w:val="333333"/>
          <w:kern w:val="0"/>
          <w:szCs w:val="21"/>
        </w:rPr>
      </w:pPr>
      <w:r>
        <w:rPr>
          <w:rFonts w:ascii="仿宋_GB2312" w:cs="仿宋_GB2312" w:eastAsia="仿宋_GB2312" w:hAnsi="楷体"/>
          <w:color w:val="000000"/>
          <w:sz w:val="32"/>
          <w:szCs w:val="32"/>
        </w:rPr>
      </w:r>
    </w:p>
    <w:p w14:paraId="22AD27D3">
      <w:pPr>
        <w:pStyle w:val="style0"/>
        <w:widowControl/>
        <w:shd w:val="clear" w:color="auto" w:fill="ffffff"/>
        <w:spacing w:lineRule="atLeast" w:line="360"/>
        <w:ind w:firstLine="1040"/>
        <w:jc w:val="center"/>
        <w:rPr>
          <w:rFonts w:ascii="华文中宋" w:cs="Arial" w:eastAsia="华文中宋" w:hAnsi="华文中宋"/>
          <w:color w:val="333333"/>
          <w:kern w:val="0"/>
          <w:szCs w:val="21"/>
        </w:rPr>
      </w:pPr>
    </w:p>
    <w:p w14:paraId="4A83AB8D">
      <w:pPr>
        <w:pStyle w:val="style0"/>
        <w:widowControl/>
        <w:shd w:val="clear" w:color="auto" w:fill="ffffff"/>
        <w:spacing w:after="624" w:afterLines="200" w:lineRule="atLeast" w:line="360"/>
        <w:ind w:firstLine="426"/>
        <w:jc w:val="center"/>
        <w:rPr>
          <w:rFonts w:ascii="华文楷体" w:cs="Arial" w:eastAsia="华文楷体" w:hAnsi="华文楷体"/>
          <w:color w:val="333333"/>
          <w:kern w:val="0"/>
          <w:sz w:val="32"/>
          <w:szCs w:val="32"/>
        </w:rPr>
      </w:pPr>
      <w:r>
        <w:rPr>
          <w:rFonts w:ascii="华文楷体" w:cs="Arial" w:eastAsia="华文楷体" w:hAnsi="华文楷体" w:hint="eastAsia"/>
          <w:color w:val="333333"/>
          <w:kern w:val="0"/>
          <w:sz w:val="32"/>
          <w:szCs w:val="32"/>
        </w:rPr>
        <w:t>软件开发类作品文档简要要求</w:t>
      </w:r>
    </w:p>
    <w:p w14:paraId="20281DD3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 w:hint="eastAsia"/>
          <w:color w:val="333333"/>
          <w:kern w:val="0"/>
          <w:sz w:val="32"/>
          <w:szCs w:val="32"/>
        </w:rPr>
      </w:pPr>
    </w:p>
    <w:p w14:paraId="614E33C0">
      <w:pPr>
        <w:pStyle w:val="style0"/>
        <w:widowControl/>
        <w:shd w:val="clear" w:color="auto" w:fill="ffffff"/>
        <w:spacing w:before="156" w:beforeLines="5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/>
        </w:rPr>
        <w:t>2026080780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2520C21B">
      <w:pPr>
        <w:pStyle w:val="style0"/>
        <w:widowControl/>
        <w:shd w:val="clear" w:color="auto" w:fill="ffffff"/>
        <w:spacing w:before="156" w:beforeLines="5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eastAsia="zh-HK"/>
        </w:rPr>
        <w:t>社区慢病管理系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 w:eastAsia="zh-HK"/>
        </w:rPr>
        <w:t>统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1F4B28E">
      <w:pPr>
        <w:pStyle w:val="style0"/>
        <w:widowControl/>
        <w:shd w:val="clear" w:color="auto" w:fill="ffffff"/>
        <w:spacing w:before="156" w:beforeLines="5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版本编号：　V2.0.0（最终提交版）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7FF9264D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/>
        </w:rPr>
        <w:t>2026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val="en-US" w:eastAsia="zh-HK"/>
        </w:rPr>
        <w:t>年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 w:eastAsia="zh-HK"/>
        </w:rPr>
        <w:t>4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val="en-US" w:eastAsia="zh-HK"/>
        </w:rPr>
        <w:t>月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 w:eastAsia="zh-HK"/>
        </w:rPr>
        <w:t>29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val="en-US" w:eastAsia="zh-HK"/>
        </w:rPr>
        <w:t>日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</w:t>
      </w:r>
    </w:p>
    <w:bookmarkStart w:id="0" w:name="_GoBack"/>
    <w:bookmarkEnd w:id="0"/>
    <w:p w14:paraId="7EA8E9DF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 w:hint="eastAsia"/>
          <w:color w:val="333333"/>
          <w:kern w:val="0"/>
          <w:sz w:val="32"/>
          <w:szCs w:val="32"/>
        </w:rPr>
      </w:pPr>
    </w:p>
    <w:p w14:paraId="5D1E1377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 w:hint="eastAsia"/>
          <w:color w:val="333333"/>
          <w:kern w:val="0"/>
          <w:sz w:val="32"/>
          <w:szCs w:val="32"/>
        </w:rPr>
      </w:pPr>
    </w:p>
    <w:p w14:paraId="607E0528">
      <w:pPr>
        <w:pStyle w:val="style0"/>
        <w:widowControl/>
        <w:ind w:firstLine="0"/>
        <w:jc w:val="left"/>
        <w:rPr/>
      </w:pPr>
      <w:r>
        <w:br w:type="page"/>
      </w:r>
    </w:p>
    <w:p w14:paraId="44B12673">
      <w:pPr>
        <w:pStyle w:val="style0"/>
        <w:widowControl/>
        <w:ind w:firstLine="420"/>
        <w:jc w:val="left"/>
        <w:rPr/>
      </w:pPr>
      <w:r>
        <w:rPr>
          <w:sz w:val="21"/>
        </w:rPr>
        <mc:AlternateContent>
          <mc:Choice Requires="wps"/>
          <mc:Fallback>
            <w:pict>
              <v:rect id="1027" fillcolor="white" stroked="t" style="position:absolute;margin-left:129.11pt;margin-top:6.41pt;width:391.55pt;height:353.95pt;z-index:2;mso-position-horizontal-relative:page;mso-position-vertical-relative:page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16358EAF">
                      <w:pPr>
                        <w:pStyle w:val="style0"/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作品，包括：（1）Web应用（2）移动应用（非游戏类）（</w:t>
                      </w: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）算法设计与应用</w:t>
                      </w: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（5）</w:t>
                      </w: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赛；</w:t>
                      </w:r>
                    </w:p>
                    <w:p w14:paraId="73827F0C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622CEA89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0" w:firstLine="420" w:firstLineChars="20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0" w:firstLine="420" w:firstLineChars="20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0" w:firstLine="420" w:firstLineChars="20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/>
                        <w:textAlignment w:val="auto"/>
                        <w:rPr/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rect>
            </w:pict>
          </mc:Fallback>
        </mc:AlternateContent>
      </w:r>
    </w:p>
    <w:p w14:paraId="5FDD1443">
      <w:pPr>
        <w:pStyle w:val="style0"/>
        <w:widowControl/>
        <w:ind w:firstLine="420"/>
        <w:jc w:val="left"/>
        <w:rPr/>
      </w:pPr>
    </w:p>
    <w:p w14:paraId="4C9C714A">
      <w:pPr>
        <w:pStyle w:val="style0"/>
        <w:widowControl/>
        <w:ind w:firstLine="420"/>
        <w:jc w:val="left"/>
        <w:rPr/>
      </w:pPr>
    </w:p>
    <w:p w14:paraId="45F22E4C">
      <w:pPr>
        <w:pStyle w:val="style0"/>
        <w:widowControl/>
        <w:ind w:firstLine="420"/>
        <w:jc w:val="left"/>
        <w:rPr/>
      </w:pPr>
    </w:p>
    <w:p w14:paraId="2BCA8054">
      <w:pPr>
        <w:pStyle w:val="style0"/>
        <w:widowControl/>
        <w:ind w:firstLine="420"/>
        <w:jc w:val="left"/>
        <w:rPr/>
      </w:pPr>
    </w:p>
    <w:p w14:paraId="0560BFE9">
      <w:pPr>
        <w:pStyle w:val="style0"/>
        <w:widowControl/>
        <w:ind w:firstLine="420"/>
        <w:jc w:val="left"/>
        <w:rPr/>
      </w:pPr>
    </w:p>
    <w:p w14:paraId="5BE65453">
      <w:pPr>
        <w:pStyle w:val="style0"/>
        <w:widowControl/>
        <w:ind w:firstLine="420"/>
        <w:jc w:val="left"/>
        <w:rPr/>
      </w:pPr>
    </w:p>
    <w:p w14:paraId="0EC1A2D0">
      <w:pPr>
        <w:pStyle w:val="style0"/>
        <w:widowControl/>
        <w:ind w:firstLine="420"/>
        <w:jc w:val="left"/>
        <w:rPr/>
      </w:pPr>
    </w:p>
    <w:p w14:paraId="0E182CE2">
      <w:pPr>
        <w:pStyle w:val="style0"/>
        <w:widowControl/>
        <w:ind w:firstLine="420"/>
        <w:jc w:val="left"/>
        <w:rPr/>
      </w:pPr>
    </w:p>
    <w:p w14:paraId="526CE580">
      <w:pPr>
        <w:pStyle w:val="style0"/>
        <w:widowControl/>
        <w:ind w:firstLine="420"/>
        <w:jc w:val="left"/>
        <w:rPr/>
      </w:pPr>
    </w:p>
    <w:p w14:paraId="742DCCB1">
      <w:pPr>
        <w:pStyle w:val="style0"/>
        <w:widowControl/>
        <w:ind w:firstLine="420"/>
        <w:jc w:val="left"/>
        <w:rPr/>
      </w:pPr>
    </w:p>
    <w:p w14:paraId="0EC6EA67">
      <w:pPr>
        <w:pStyle w:val="style0"/>
        <w:widowControl/>
        <w:ind w:firstLine="420"/>
        <w:jc w:val="left"/>
        <w:rPr/>
      </w:pPr>
    </w:p>
    <w:p w14:paraId="11008688">
      <w:pPr>
        <w:pStyle w:val="style0"/>
        <w:widowControl/>
        <w:ind w:firstLine="420"/>
        <w:jc w:val="left"/>
        <w:rPr/>
      </w:pPr>
    </w:p>
    <w:p w14:paraId="6DF788F7">
      <w:pPr>
        <w:pStyle w:val="style0"/>
        <w:widowControl/>
        <w:ind w:firstLine="420"/>
        <w:jc w:val="left"/>
        <w:rPr/>
      </w:pPr>
    </w:p>
    <w:p w14:paraId="4A1018BE">
      <w:pPr>
        <w:pStyle w:val="style0"/>
        <w:widowControl/>
        <w:ind w:firstLine="420"/>
        <w:jc w:val="left"/>
        <w:rPr/>
      </w:pPr>
    </w:p>
    <w:p w14:paraId="0AECEE11">
      <w:pPr>
        <w:pStyle w:val="style0"/>
        <w:widowControl/>
        <w:ind w:firstLine="420"/>
        <w:jc w:val="left"/>
        <w:rPr/>
      </w:pPr>
    </w:p>
    <w:p w14:paraId="21DD2371">
      <w:pPr>
        <w:pStyle w:val="style0"/>
        <w:widowControl/>
        <w:ind w:firstLine="420"/>
        <w:jc w:val="left"/>
        <w:rPr/>
      </w:pPr>
    </w:p>
    <w:p w14:paraId="7B602CED">
      <w:pPr>
        <w:pStyle w:val="style0"/>
        <w:widowControl/>
        <w:ind w:firstLine="420"/>
        <w:jc w:val="left"/>
        <w:rPr/>
      </w:pPr>
    </w:p>
    <w:p w14:paraId="53F6A615">
      <w:pPr>
        <w:pStyle w:val="style0"/>
        <w:widowControl/>
        <w:ind w:firstLine="420"/>
        <w:jc w:val="left"/>
        <w:rPr/>
      </w:pPr>
    </w:p>
    <w:p w14:paraId="214338CF">
      <w:pPr>
        <w:pStyle w:val="style0"/>
        <w:widowControl/>
        <w:ind w:firstLine="420"/>
        <w:jc w:val="left"/>
        <w:rPr/>
      </w:pPr>
    </w:p>
    <w:p w14:paraId="4BBCF12E">
      <w:pPr>
        <w:pStyle w:val="style0"/>
        <w:widowControl/>
        <w:ind w:firstLine="420"/>
        <w:jc w:val="left"/>
        <w:rPr/>
      </w:pPr>
    </w:p>
    <w:p w14:paraId="661B3487">
      <w:pPr>
        <w:pStyle w:val="style0"/>
        <w:widowControl/>
        <w:ind w:firstLine="420"/>
        <w:jc w:val="left"/>
        <w:rPr/>
      </w:pPr>
    </w:p>
    <w:p w14:paraId="721CC09C">
      <w:pPr>
        <w:pStyle w:val="style0"/>
        <w:widowControl/>
        <w:ind w:firstLine="420"/>
        <w:jc w:val="left"/>
        <w:rPr/>
      </w:pPr>
    </w:p>
    <w:p w14:paraId="68D1E9F0">
      <w:pPr>
        <w:pStyle w:val="style0"/>
        <w:widowControl/>
        <w:ind w:firstLine="420"/>
        <w:jc w:val="left"/>
        <w:rPr/>
      </w:pPr>
    </w:p>
    <w:p w14:paraId="0370C8AD">
      <w:pPr>
        <w:pStyle w:val="style0"/>
        <w:widowControl/>
        <w:ind w:firstLine="420"/>
        <w:jc w:val="left"/>
        <w:rPr/>
      </w:pPr>
    </w:p>
    <w:p w14:paraId="581285B7">
      <w:pPr>
        <w:pStyle w:val="style0"/>
        <w:widowControl/>
        <w:ind w:firstLine="420"/>
        <w:jc w:val="left"/>
        <w:rPr/>
      </w:pPr>
    </w:p>
    <w:p w14:paraId="69949CE1">
      <w:pPr>
        <w:pStyle w:val="style0"/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style19"/>
        <w:rPr>
          <w:b w:val="false"/>
          <w:sz w:val="21"/>
          <w:szCs w:val="22"/>
        </w:rPr>
      </w:pPr>
      <w:r>
        <w:rPr>
          <w:rFonts w:ascii="华文楷体" w:eastAsia="华文楷体" w:hAnsi="华文楷体"/>
          <w:b w:val="false"/>
          <w:bCs/>
          <w:lang w:val="zh-CN"/>
        </w:rPr>
        <w:fldChar w:fldCharType="begin"/>
      </w:r>
      <w:r>
        <w:rPr>
          <w:rFonts w:ascii="华文楷体" w:eastAsia="华文楷体" w:hAnsi="华文楷体"/>
          <w:b w:val="false"/>
          <w:bCs/>
          <w:lang w:val="zh-CN"/>
        </w:rPr>
        <w:instrText xml:space="preserve"> TOC \o "1-3" \h \z \u </w:instrText>
      </w:r>
      <w:r>
        <w:rPr>
          <w:rFonts w:ascii="华文楷体" w:eastAsia="华文楷体" w:hAnsi="华文楷体"/>
          <w:b w:val="false"/>
          <w:bCs/>
          <w:lang w:val="zh-CN"/>
        </w:rPr>
        <w:fldChar w:fldCharType="separate"/>
      </w:r>
      <w:r>
        <w:rPr/>
        <w:fldChar w:fldCharType="begin"/>
      </w:r>
      <w:r>
        <w:instrText xml:space="preserve"> HYPERLINK \l "_Toc100040660" </w:instrText>
      </w:r>
      <w:r>
        <w:rPr/>
        <w:fldChar w:fldCharType="separate"/>
      </w:r>
      <w:r>
        <w:rPr>
          <w:rStyle w:val="style85"/>
          <w:b w:val="false"/>
        </w:rPr>
        <w:t>第一章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需求分析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_Toc100040660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508CF647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"_Toc100040661" </w:instrText>
      </w:r>
      <w:r>
        <w:rPr/>
        <w:fldChar w:fldCharType="separate"/>
      </w:r>
      <w:r>
        <w:rPr>
          <w:rStyle w:val="style85"/>
          <w:b w:val="false"/>
        </w:rPr>
        <w:t>第二章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概要设计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_Toc100040661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520AB6FF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"_Toc100040662" </w:instrText>
      </w:r>
      <w:r>
        <w:rPr/>
        <w:fldChar w:fldCharType="separate"/>
      </w:r>
      <w:r>
        <w:rPr>
          <w:rStyle w:val="style85"/>
          <w:b w:val="false"/>
        </w:rPr>
        <w:t>第三章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详细设计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_Toc100040662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77926357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"_Toc100040663" </w:instrText>
      </w:r>
      <w:r>
        <w:rPr/>
        <w:fldChar w:fldCharType="separate"/>
      </w:r>
      <w:r>
        <w:rPr>
          <w:rStyle w:val="style85"/>
          <w:b w:val="false"/>
        </w:rPr>
        <w:t>第四章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测试报告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_Toc100040663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3593C593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"_Toc100040664" </w:instrText>
      </w:r>
      <w:r>
        <w:rPr/>
        <w:fldChar w:fldCharType="separate"/>
      </w:r>
      <w:r>
        <w:rPr>
          <w:rStyle w:val="style85"/>
          <w:b w:val="false"/>
        </w:rPr>
        <w:t>第五章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安装及使用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_Toc100040664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1658E1A9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"_Toc100040665" </w:instrText>
      </w:r>
      <w:r>
        <w:rPr/>
        <w:fldChar w:fldCharType="separate"/>
      </w:r>
      <w:r>
        <w:rPr>
          <w:rStyle w:val="style85"/>
          <w:b w:val="false"/>
        </w:rPr>
        <w:t>第六章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项目总结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_Toc100040665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1304310E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"_Toc100040666" </w:instrText>
      </w:r>
      <w:r>
        <w:rPr/>
        <w:fldChar w:fldCharType="separate"/>
      </w:r>
      <w:r>
        <w:rPr>
          <w:rStyle w:val="style85"/>
          <w:b w:val="false"/>
        </w:rPr>
        <w:t>参考文献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_Toc100040666 \h </w:instrText>
      </w:r>
      <w:r>
        <w:rPr>
          <w:b w:val="false"/>
        </w:rPr>
        <w:fldChar w:fldCharType="separate"/>
      </w:r>
      <w:r>
        <w:rPr>
          <w:b w:val="false"/>
        </w:rPr>
        <w:t>7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687FF6DC">
      <w:pPr>
        <w:pStyle w:val="style19"/>
        <w:rPr>
          <w:b w:val="false"/>
        </w:rPr>
      </w:pPr>
      <w:r>
        <w:rPr>
          <w:rFonts w:ascii="华文楷体" w:eastAsia="华文楷体" w:hAnsi="华文楷体"/>
          <w:b w:val="false"/>
          <w:lang w:val="zh-CN"/>
        </w:rPr>
        <w:fldChar w:fldCharType="end"/>
      </w:r>
    </w:p>
    <w:bookmarkStart w:id="1" w:name="_Toc100040660"/>
    <w:p w14:paraId="251DEDAD">
      <w:pPr>
        <w:pStyle w:val="style1"/>
        <w:rPr/>
      </w:pPr>
      <w:r>
        <w:rPr>
          <w:rFonts w:hint="eastAsia"/>
        </w:rPr>
        <w:t>需求分析</w:t>
      </w:r>
      <w:bookmarkEnd w:id="1"/>
    </w:p>
    <w:p w14:paraId="750495AF">
      <w:pPr>
        <w:pStyle w:val="style0"/>
        <w:rPr/>
      </w:pPr>
      <w:r>
        <w:rPr>
          <w:rFonts w:hint="eastAsia"/>
        </w:rPr>
        <w:t>本作品面向社区慢性病患者和基层医生，提供慢病管理全流程解决方案。随着人口老龄化加剧，基层社区在慢病管理方面面临数据分散、随访效率低、管理缺乏个性化等痛点。</w:t>
        <w:br/>
        <w:br/>
        <w:t>主要功能：（1）健康打卡——血压/血糖/体重记录+自动分级判定；（2）医生驾驶舱——实时查看患者健康数据；（3）AI健康咨询——融合Coze多智能体平台；（4）随访管理——自动生成任务闭环；（5）数据同步——三方互通。</w:t>
        <w:br/>
        <w:br/>
        <w:t>竞品分析：主流慢病App（如糖护士）侧重单一病种，缺少社区-医生-患者三方联动能力。本系统以基层社区卫生服务为核心，覆盖高血压、糖尿病等多病种，通过多智能体AI提供差异化服务。</w:t>
        <w:br/>
        <w:br/>
        <w:t>性能：页面加载&lt;2s，API响应&lt;500ms，支持管理1000+患者，支持双击运行和Vercel部署。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</w:t>
      </w:r>
      <w:r>
        <w:rPr>
          <w:rFonts w:hint="eastAsia"/>
          <w:highlight w:val="yellow"/>
        </w:rPr>
        <w:t>如果存在竞品，建议有竞品分析表格，从多个维度分析本作品与竞品作品比较</w:t>
      </w:r>
      <w:r>
        <w:rPr>
          <w:rFonts w:hint="eastAsia"/>
        </w:rPr>
        <w:t>】</w:t>
      </w:r>
    </w:p>
    <w:bookmarkStart w:id="2" w:name="_Toc100040661"/>
    <w:p w14:paraId="6A10FA88">
      <w:pPr>
        <w:pStyle w:val="style1"/>
        <w:rPr/>
      </w:pPr>
      <w:r>
        <w:rPr>
          <w:rFonts w:hint="eastAsia"/>
        </w:rPr>
        <w:t>概要设计</w:t>
      </w:r>
      <w:bookmarkEnd w:id="2"/>
    </w:p>
    <w:p w14:paraId="5247781D">
      <w:pPr>
        <w:pStyle w:val="style0"/>
        <w:rPr/>
      </w:pPr>
      <w:r>
        <w:rPr>
          <w:rFonts w:hint="eastAsia"/>
        </w:rPr>
        <w:t>系统采用三层架构：</w:t>
        <w:br/>
        <w:t>患者端（微信小程序+Web）：健康打卡、档案查看、AI咨询、消息通知。</w:t>
        <w:br/>
        <w:t>医生端（Vue3+Element Plus+ECharts）：健康概览、患者管理、血糖/血压监测、AI助手、设备管理、慢病回访等15个模块。</w:t>
        <w:br/>
        <w:t>后端（Node.js+Express）：8大类36个RESTful API接口。</w:t>
        <w:br/>
        <w:t>数据层（SQLite+Coze云端）：本地SQLite存储，Coze工作流实现双向同步。</w:t>
        <w:br/>
        <w:br/>
        <w:t>系统架构：</w:t>
        <w:br/>
        <w:t>【患者端】→【Node.js后端】→【SQLite数据库 + Coze云端平台】</w:t>
      </w:r>
      <w:r>
        <w:rPr>
          <w:rFonts w:ascii="Arial" w:cs="Arial" w:hAnsi="Arial"/>
          <w:szCs w:val="21"/>
          <w:shd w:val="clear" w:color="auto" w:fill="ffffff"/>
        </w:rPr>
        <w:t>层次结构</w:t>
      </w:r>
      <w:r>
        <w:rPr>
          <w:rFonts w:ascii="Arial" w:cs="Arial" w:hAnsi="Arial" w:hint="eastAsia"/>
          <w:szCs w:val="21"/>
          <w:shd w:val="clear" w:color="auto" w:fill="ffffff"/>
        </w:rPr>
        <w:t>、</w:t>
      </w:r>
      <w:r>
        <w:rPr>
          <w:rFonts w:ascii="Arial" w:cs="Arial" w:hAnsi="Arial"/>
          <w:color w:val="333333"/>
          <w:szCs w:val="21"/>
          <w:shd w:val="clear" w:color="auto" w:fill="ffffff"/>
        </w:rPr>
        <w:t>调用关系、模块间接口</w:t>
      </w:r>
      <w:r>
        <w:rPr>
          <w:rFonts w:ascii="Arial" w:cs="Arial" w:hAnsi="Arial" w:hint="eastAsia"/>
          <w:color w:val="333333"/>
          <w:szCs w:val="21"/>
          <w:shd w:val="clear" w:color="auto" w:fill="ffffff"/>
        </w:rPr>
        <w:t>以及</w:t>
      </w:r>
      <w:r>
        <w:rPr>
          <w:rFonts w:ascii="Arial" w:cs="Arial" w:hAnsi="Arial"/>
          <w:color w:val="333333"/>
          <w:szCs w:val="21"/>
          <w:shd w:val="clear" w:color="auto" w:fill="ffffff"/>
        </w:rPr>
        <w:t>人机界面等</w:t>
      </w:r>
      <w:r>
        <w:rPr>
          <w:rFonts w:ascii="Arial" w:cs="Arial" w:hAnsi="Arial" w:hint="eastAsia"/>
          <w:color w:val="333333"/>
          <w:szCs w:val="21"/>
          <w:shd w:val="clear" w:color="auto" w:fill="ffffff"/>
        </w:rPr>
        <w:t>，</w:t>
      </w:r>
      <w:r>
        <w:rPr>
          <w:rFonts w:ascii="Arial" w:cs="Arial" w:hAnsi="Arial" w:hint="eastAsia"/>
          <w:color w:val="333333"/>
          <w:szCs w:val="21"/>
          <w:highlight w:val="yellow"/>
          <w:shd w:val="clear" w:color="auto" w:fill="ffffff"/>
        </w:rPr>
        <w:t>建议用图体现内容，不宜全文字描述。建议图文总体不超过A</w:t>
      </w:r>
      <w:r>
        <w:rPr>
          <w:rFonts w:ascii="Arial" w:cs="Arial" w:hAnsi="Arial"/>
          <w:color w:val="333333"/>
          <w:szCs w:val="21"/>
          <w:highlight w:val="yellow"/>
          <w:shd w:val="clear" w:color="auto" w:fill="ffffff"/>
        </w:rPr>
        <w:t>4</w:t>
      </w:r>
      <w:r>
        <w:rPr>
          <w:rFonts w:ascii="Arial" w:cs="Arial" w:hAnsi="Arial" w:hint="eastAsia"/>
          <w:color w:val="333333"/>
          <w:szCs w:val="21"/>
          <w:highlight w:val="yellow"/>
          <w:shd w:val="clear" w:color="auto" w:fill="ffffff"/>
        </w:rPr>
        <w:t>纸两页，以1页为宜。</w:t>
      </w:r>
      <w:r>
        <w:rPr>
          <w:rFonts w:hint="eastAsia"/>
          <w:highlight w:val="yellow"/>
        </w:rPr>
        <w:t>】</w:t>
      </w:r>
    </w:p>
    <w:bookmarkStart w:id="3" w:name="_Toc100040662"/>
    <w:p w14:paraId="47D317A4">
      <w:pPr>
        <w:pStyle w:val="style1"/>
        <w:rPr/>
      </w:pPr>
      <w:r>
        <w:rPr>
          <w:rFonts w:hint="eastAsia"/>
        </w:rPr>
        <w:t>详细设计</w:t>
      </w:r>
      <w:bookmarkEnd w:id="3"/>
    </w:p>
    <w:p w14:paraId="7D9E4202">
      <w:pPr>
        <w:pStyle w:val="style0"/>
        <w:rPr/>
      </w:pPr>
      <w:r>
        <w:rPr>
          <w:rFonts w:hint="eastAsia"/>
        </w:rPr>
        <w:t>界面设计：</w:t>
        <w:br/>
        <w:t>患者端（6页面）：登录→首页→健康打卡（自动分级）→档案（Canvas趋势图）→AI咨询（对话）→消息通知。</w:t>
        <w:br/>
        <w:t>医生端（15功能）：登录→仪表盘（5统计卡片+趋势图）→患者管理→血糖监测→血压管理→AI助手→慢病回访→设置。</w:t>
        <w:br/>
        <w:br/>
        <w:t>数据库：</w:t>
        <w:br/>
        <w:t>users表：id, username, password, nick_name, card_no, age, gender, diagnosis</w:t>
        <w:br/>
        <w:t>health_records表：id, user_id, record_date, systolic, diastolic, blood_sugar, blood_sugar_type, weight, bp_level, bs_level</w:t>
        <w:br/>
        <w:t>Coze云端表：id, user_id, user_name, content, source, data_type, extra_data, created_at</w:t>
        <w:br/>
        <w:br/>
        <w:t>关键算法——自动健康分级：</w:t>
        <w:br/>
        <w:t>血压：收缩压&lt;120且舒张压&lt;80→正常；&lt;140/90→偏高；其余→高（参照中国高血压防治指南2024版）</w:t>
        <w:br/>
        <w:t>血糖（空腹）：&lt;6.1→正常；6.1-7.0→偏高；&gt;=7.0→高（参照中国2型糖尿病防治指南2020版）</w:t>
        <w:br/>
        <w:t>以上算法经人工逐条核对指南确认。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</w:t>
      </w:r>
      <w:r>
        <w:rPr>
          <w:rFonts w:hint="eastAsia"/>
          <w:highlight w:val="yellow"/>
        </w:rPr>
        <w:t>本部分不宜大篇幅铺陈，建议突出重点痛点难点特点。</w:t>
      </w:r>
      <w:r>
        <w:rPr>
          <w:rFonts w:hint="eastAsia"/>
        </w:rPr>
        <w:t>】</w:t>
      </w:r>
    </w:p>
    <w:bookmarkStart w:id="4" w:name="_Toc100040663"/>
    <w:p w14:paraId="12390D11">
      <w:pPr>
        <w:pStyle w:val="style1"/>
        <w:rPr/>
      </w:pPr>
      <w:r>
        <w:rPr>
          <w:rFonts w:hint="eastAsia"/>
        </w:rPr>
        <w:t>测试报告</w:t>
      </w:r>
      <w:bookmarkEnd w:id="4"/>
    </w:p>
    <w:p w14:paraId="375D2BCE">
      <w:pPr>
        <w:pStyle w:val="style0"/>
        <w:rPr>
          <w:lang w:val="zh-CN"/>
        </w:rPr>
      </w:pPr>
      <w:r>
        <w:rPr>
          <w:rFonts w:hint="eastAsia"/>
        </w:rPr>
        <w:t>后端API测试：36个接口全部通过。</w:t>
        <w:br/>
        <w:t>认证4/4 | 患者4/4 | 血糖3/3 | 血压3/3 | 设备3/3 | 预警4/4 | 回访5/5 | AI服务6/6 | 仪表盘4/4</w:t>
        <w:br/>
        <w:br/>
        <w:t>前端测试：</w:t>
        <w:br/>
        <w:t>演示版6页面全部功能通过 | 医生端15个模块界面正常 | Canvas趋势图渲染正常 | 数据校验通过</w:t>
        <w:br/>
        <w:br/>
        <w:t>技术指标：</w:t>
        <w:br/>
        <w:t>- 速度：首屏&lt;1.5s，API&lt;200ms</w:t>
        <w:br/>
        <w:t>- 安全：已排除.env/node_modules/真实Token，使用虚拟演示数据</w:t>
        <w:br/>
        <w:t>- 扩展：模块化架构，可独立扩展</w:t>
        <w:br/>
        <w:t>- 部署：双击运行/Node服务/Vercel三种方式</w:t>
      </w:r>
      <w:r>
        <w:rPr>
          <w:rFonts w:hint="eastAsia"/>
          <w:highlight w:val="yellow"/>
        </w:rPr>
        <w:t>本部分简要说明即可，减少常识性内容。</w:t>
      </w:r>
      <w:r>
        <w:rPr>
          <w:rFonts w:hint="eastAsia"/>
        </w:rPr>
        <w:t>】</w:t>
      </w:r>
    </w:p>
    <w:bookmarkStart w:id="5" w:name="_Toc100040664"/>
    <w:p w14:paraId="22F48A92">
      <w:pPr>
        <w:pStyle w:val="style1"/>
        <w:rPr/>
      </w:pPr>
      <w:r>
        <w:rPr>
          <w:rFonts w:hint="eastAsia"/>
        </w:rPr>
        <w:t>安装及使用</w:t>
      </w:r>
      <w:bookmarkEnd w:id="5"/>
    </w:p>
    <w:p w14:paraId="4982347F">
      <w:pPr>
        <w:pStyle w:val="style0"/>
        <w:rPr>
          <w:lang w:val="zh-CN"/>
        </w:rPr>
      </w:pPr>
      <w:r>
        <w:rPr>
          <w:rFonts w:hint="eastAsia"/>
        </w:rPr>
        <w:t>环境要求：Chrome 90+ / Edge 90+ / Firefox 90+，Node.js 18+（可选）</w:t>
        <w:br/>
        <w:br/>
        <w:t>启动方式：</w:t>
        <w:br/>
        <w:t>方式一（最简）：双击演示版代码/index.html</w:t>
        <w:br/>
        <w:t>方式二：node src/api/server.js -&gt; http://localhost:3000</w:t>
        <w:br/>
        <w:t>方式三：vercel --prod</w:t>
        <w:br/>
        <w:br/>
        <w:t>默认账号：</w:t>
        <w:br/>
        <w:t>- 演示账号：admin / 123456</w:t>
        <w:br/>
        <w:t>- 评委账号：13800138001 / 123</w:t>
        <w:br/>
        <w:t>- 压缩包密码：123</w:t>
      </w:r>
      <w:r>
        <w:rPr>
          <w:rFonts w:ascii="Arial" w:cs="Arial" w:hAnsi="Arial" w:hint="eastAsia"/>
          <w:color w:val="333333"/>
          <w:szCs w:val="21"/>
          <w:shd w:val="clear" w:color="auto" w:fill="ffffff"/>
        </w:rPr>
        <w:t>。</w:t>
      </w:r>
      <w:r>
        <w:rPr>
          <w:rFonts w:ascii="Arial" w:cs="Arial" w:hAnsi="Arial" w:hint="eastAsia"/>
          <w:color w:val="333333"/>
          <w:szCs w:val="21"/>
          <w:highlight w:val="yellow"/>
          <w:shd w:val="clear" w:color="auto" w:fill="ffffff"/>
        </w:rPr>
        <w:t>建议包含默认安装和典型使用流程。</w:t>
      </w:r>
      <w:r>
        <w:rPr>
          <w:rFonts w:hint="eastAsia"/>
          <w:highlight w:val="yellow"/>
        </w:rPr>
        <w:t>】</w:t>
      </w:r>
    </w:p>
    <w:bookmarkStart w:id="6" w:name="_Toc100040665"/>
    <w:p w14:paraId="699B0C6C">
      <w:pPr>
        <w:pStyle w:val="style1"/>
        <w:rPr/>
      </w:pPr>
      <w:r>
        <w:rPr>
          <w:rFonts w:hint="eastAsia"/>
        </w:rPr>
        <w:t>项目总结</w:t>
      </w:r>
      <w:bookmarkEnd w:id="6"/>
    </w:p>
    <w:p w14:paraId="47E10FEC">
      <w:pPr>
        <w:pStyle w:val="style0"/>
        <w:rPr>
          <w:lang w:val="zh-CN"/>
        </w:rPr>
      </w:pPr>
      <w:r>
        <w:rPr>
          <w:rFonts w:hint="eastAsia"/>
        </w:rPr>
        <w:t>本作品10天内完成全流程开发。在DeepSeek、Cursor、Codex、Coze四个AI大模型辅助下，产出医生端Web平台、微信小程序、Node.js后端、演示版Web应用等完整代码。</w:t>
        <w:br/>
        <w:br/>
        <w:t>最大挑战是确保AI生成医疗代码符合临床标准，团队逐条校验分级算法、随访流程、数据安全合规。</w:t>
        <w:br/>
        <w:br/>
        <w:t>收获：深入理解医疗信息化政策法规，掌握多智能体协作开发模式。</w:t>
        <w:br/>
        <w:br/>
        <w:t>升级方向：（1）接入真实医疗设备；（2）完善多智能体协作逻辑；（3）对接区域健康信息平台。</w:t>
      </w:r>
      <w:r>
        <w:rPr>
          <w:rFonts w:hint="eastAsia"/>
          <w:highlight w:val="yellow"/>
        </w:rPr>
        <w:t>建议部分篇幅不超过A</w:t>
      </w:r>
      <w:r>
        <w:rPr>
          <w:highlight w:val="yellow"/>
        </w:rPr>
        <w:t>4</w:t>
      </w:r>
      <w:r>
        <w:rPr>
          <w:rFonts w:hint="eastAsia"/>
          <w:highlight w:val="yellow"/>
        </w:rPr>
        <w:t>纸1页。</w:t>
      </w:r>
      <w:r>
        <w:rPr>
          <w:rFonts w:hint="eastAsia"/>
        </w:rPr>
        <w:t>】</w:t>
      </w:r>
    </w:p>
    <w:bookmarkStart w:id="7" w:name="_Toc100040666"/>
    <w:p w14:paraId="39549035">
      <w:pPr>
        <w:pStyle w:val="style1"/>
        <w:numPr>
          <w:ilvl w:val="0"/>
          <w:numId w:val="0"/>
        </w:numPr>
        <w:rPr/>
      </w:pPr>
      <w:r>
        <w:rPr>
          <w:rFonts w:hint="eastAsia"/>
        </w:rPr>
        <w:t>参考文献</w:t>
      </w:r>
      <w:bookmarkEnd w:id="7"/>
    </w:p>
    <w:p w14:paraId="2188A776">
      <w:pPr>
        <w:pStyle w:val="style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[1] 中国高血压防治指南修订委员会. 中国高血压防治指南(2024年修订版)[J]. 中华心血管病杂志, 2024, 52(1): 1-60.</w:t>
        <w:br/>
        <w:t>[2] 中华医学会糖尿病学分会. 中国2型糖尿病防治指南(2020年版)[J]. 中华糖尿病杂志, 2021, 13(1): 4-67.</w:t>
        <w:br/>
        <w:t>[3] 国家卫生健康委员会. 国家基本公共卫生服务规范(第三版)[S]. 2017.</w:t>
        <w:br/>
        <w:t>[4] 中共中央, 国务院. "健康中国2030"规划纲要[Z]. 2016.</w:t>
        <w:br/>
        <w:t>[5] 国务院办公厅. 中国防治慢性病中长期规划(2017-2025年)[Z]. 国办发(2017)12号.</w:t>
        <w:br/>
        <w:t>[6] 国家卫生健康委员会. "十四五"全民健康信息化规划[Z]. 2022.</w:t>
        <w:br/>
        <w:t>[7] 全国人民代表大会常务委员会. 中华人民共和国个人信息保护法[Z]. 2021.</w:t>
        <w:br/>
        <w:t>[8] World Health Organization. Global status report on noncommunicable diseases 2023[R]. Geneva: WHO, 2023.</w:t>
      </w:r>
    </w:p>
    <w:p w14:paraId="355C4746">
      <w:pPr>
        <w:pStyle w:val="style0"/>
        <w:widowControl/>
        <w:jc w:val="left"/>
        <w:rPr/>
      </w:pPr>
    </w:p>
    <w:sectPr>
      <w:footerReference w:type="default"/>
      <w:pgSz w:w="11906" w:h="16838" w:orient="portrait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等线"/>
    <w:panose1 w:val="02010600030000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华文中宋"/>
    <w:panose1 w:val="02010600040000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楷体">
    <w:altName w:val="楷体"/>
    <w:panose1 w:val="02010609060000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华文楷体"/>
    <w:panose1 w:val="02010600040000010101"/>
    <w:charset w:val="86"/>
    <w:family w:val="auto"/>
    <w:pitch w:val="default"/>
    <w:sig w:usb0="00000287" w:usb1="080F0000" w:usb2="00000000" w:usb3="00000000" w:csb0="0004009F" w:csb1="DFD70000"/>
  </w:font>
  <w:font w:name="新細明體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82F7443">
    <w:pPr>
      <w:pStyle w:val="style32"/>
      <w:jc w:val="right"/>
      <w:rPr/>
    </w:pPr>
  </w:p>
  <w:p w14:paraId="0BEE5740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846BB3B"/>
    <w:lvl w:ilvl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00000001"/>
    <w:multiLevelType w:val="singleLevel"/>
    <w:tmpl w:val="296B3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3209352C"/>
    <w:lvl w:ilvl="0">
      <w:start w:val="1"/>
      <w:numFmt w:val="japaneseCounting"/>
      <w:pStyle w:val="style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9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等线" w:cs="宋体" w:eastAsia="等线" w:hAnsi="等线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numPr>
        <w:ilvl w:val="0"/>
        <w:numId w:val="1"/>
      </w:numPr>
      <w:spacing w:before="340" w:after="330" w:lineRule="auto" w:line="578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0">
    <w:name w:val="annotation text"/>
    <w:basedOn w:val="style0"/>
    <w:next w:val="style30"/>
    <w:link w:val="style4102"/>
    <w:qFormat/>
    <w:uiPriority w:val="99"/>
    <w:pPr>
      <w:jc w:val="left"/>
    </w:pPr>
    <w:rPr/>
  </w:style>
  <w:style w:type="paragraph" w:styleId="style66">
    <w:name w:val="Body Text"/>
    <w:basedOn w:val="style0"/>
    <w:next w:val="style66"/>
    <w:link w:val="style4097"/>
    <w:qFormat/>
    <w:uiPriority w:val="99"/>
    <w:pPr>
      <w:spacing w:after="120"/>
    </w:pPr>
    <w:rPr/>
  </w:style>
  <w:style w:type="paragraph" w:styleId="style153">
    <w:name w:val="Balloon Text"/>
    <w:basedOn w:val="style0"/>
    <w:next w:val="style153"/>
    <w:link w:val="style4101"/>
    <w:qFormat/>
    <w:uiPriority w:val="99"/>
    <w:pPr/>
    <w:rPr>
      <w:sz w:val="18"/>
      <w:szCs w:val="18"/>
    </w:rPr>
  </w:style>
  <w:style w:type="paragraph" w:styleId="style32">
    <w:name w:val="footer"/>
    <w:basedOn w:val="style0"/>
    <w:next w:val="style32"/>
    <w:link w:val="style4099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8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19">
    <w:name w:val="toc 1"/>
    <w:basedOn w:val="style0"/>
    <w:next w:val="style0"/>
    <w:qFormat/>
    <w:uiPriority w:val="39"/>
    <w:pPr>
      <w:tabs>
        <w:tab w:val="left" w:leader="none" w:pos="1050"/>
        <w:tab w:val="right" w:leader="dot" w:pos="8296"/>
      </w:tabs>
    </w:pPr>
    <w:rPr>
      <w:b/>
      <w:sz w:val="28"/>
      <w:szCs w:val="28"/>
    </w:rPr>
  </w:style>
  <w:style w:type="paragraph" w:styleId="style106">
    <w:name w:val="annotation subject"/>
    <w:basedOn w:val="style30"/>
    <w:next w:val="style30"/>
    <w:link w:val="style4103"/>
    <w:qFormat/>
    <w:uiPriority w:val="99"/>
    <w:pPr/>
    <w:rPr>
      <w:b/>
      <w:bCs/>
    </w:rPr>
  </w:style>
  <w:style w:type="table" w:styleId="style154">
    <w:name w:val="Table Grid"/>
    <w:basedOn w:val="style105"/>
    <w:next w:val="style154"/>
    <w:qFormat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  <w:style w:type="character" w:styleId="style39">
    <w:name w:val="annotation reference"/>
    <w:basedOn w:val="style65"/>
    <w:next w:val="style39"/>
    <w:qFormat/>
    <w:uiPriority w:val="99"/>
    <w:rPr>
      <w:sz w:val="21"/>
      <w:szCs w:val="21"/>
    </w:rPr>
  </w:style>
  <w:style w:type="character" w:customStyle="1" w:styleId="style4097">
    <w:name w:val="正文文本 字符"/>
    <w:basedOn w:val="style65"/>
    <w:next w:val="style4097"/>
    <w:link w:val="style66"/>
    <w:qFormat/>
    <w:uiPriority w:val="99"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character" w:customStyle="1" w:styleId="style4098">
    <w:name w:val="页眉 字符"/>
    <w:basedOn w:val="style65"/>
    <w:next w:val="style4098"/>
    <w:link w:val="style31"/>
    <w:qFormat/>
    <w:uiPriority w:val="99"/>
    <w:rPr>
      <w:sz w:val="18"/>
      <w:szCs w:val="18"/>
    </w:rPr>
  </w:style>
  <w:style w:type="character" w:customStyle="1" w:styleId="style4099">
    <w:name w:val="页脚 字符"/>
    <w:basedOn w:val="style65"/>
    <w:next w:val="style4099"/>
    <w:link w:val="style32"/>
    <w:qFormat/>
    <w:uiPriority w:val="99"/>
    <w:rPr>
      <w:sz w:val="18"/>
      <w:szCs w:val="18"/>
    </w:rPr>
  </w:style>
  <w:style w:type="character" w:customStyle="1" w:styleId="style4100">
    <w:name w:val="标题 1 字符"/>
    <w:basedOn w:val="style65"/>
    <w:next w:val="style4100"/>
    <w:link w:val="style1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style4101">
    <w:name w:val="批注框文本 字符"/>
    <w:basedOn w:val="style65"/>
    <w:next w:val="style4101"/>
    <w:link w:val="style153"/>
    <w:qFormat/>
    <w:uiPriority w:val="99"/>
    <w:rPr>
      <w:sz w:val="18"/>
      <w:szCs w:val="18"/>
    </w:rPr>
  </w:style>
  <w:style w:type="character" w:customStyle="1" w:styleId="style4102">
    <w:name w:val="批注文字 字符"/>
    <w:basedOn w:val="style65"/>
    <w:next w:val="style4102"/>
    <w:link w:val="style30"/>
    <w:qFormat/>
    <w:uiPriority w:val="99"/>
  </w:style>
  <w:style w:type="character" w:customStyle="1" w:styleId="style4103">
    <w:name w:val="批注主题 字符"/>
    <w:basedOn w:val="style4102"/>
    <w:next w:val="style4103"/>
    <w:link w:val="style106"/>
    <w:qFormat/>
    <w:uiPriority w:val="99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1202</Words>
  <Pages>4</Pages>
  <Characters>1236</Characters>
  <Application>WPS Office</Application>
  <DocSecurity>0</DocSecurity>
  <Paragraphs>82</Paragraphs>
  <ScaleCrop>false</ScaleCrop>
  <Company>Microsoft</Company>
  <LinksUpToDate>false</LinksUpToDate>
  <CharactersWithSpaces>1327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2022-04-05T00:48:00Z</dcterms:created>
  <dc:creator>dengxifeng@pku.edu.cn</dc:creator>
  <lastModifiedBy>24091RPADG</lastModifiedBy>
  <lastPrinted>2020-04-27T09:16:00Z</lastPrinted>
  <dcterms:modified xsi:type="dcterms:W3CDTF">2026-04-29T02:10:39Z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52d13f51502448e5912f924c791235a6_23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