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THIRD PARTY COMPROMISE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 third-party compromise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2.Third Party Compromise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Third Party Compromise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spacing w:after="0" w:line="240" w:lineRule="auto"/>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rPr>
      </w:pPr>
      <w:bookmarkStart w:colFirst="0" w:colLast="0" w:name="_heading=h.nfzhamluw8q3"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rFonts w:ascii="Roboto" w:cs="Roboto" w:eastAsia="Roboto" w:hAnsi="Roboto"/>
          <w:color w:val="1c4587"/>
        </w:rPr>
      </w:pPr>
      <w:bookmarkStart w:colFirst="0" w:colLast="0" w:name="_heading=h.gjdgxs" w:id="1"/>
      <w:bookmarkEnd w:id="1"/>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A">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potential third-party partner compromise is identified. Initial triage is to be performed to confirm whether the affected party was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2"/>
      <w:bookmarkEnd w:id="2"/>
      <w:r w:rsidDel="00000000" w:rsidR="00000000" w:rsidRPr="00000000">
        <w:rPr>
          <w:rFonts w:ascii="Roboto" w:cs="Roboto" w:eastAsia="Roboto" w:hAnsi="Roboto"/>
          <w:rtl w:val="0"/>
        </w:rPr>
        <w:t xml:space="preserve">2.Third Party Compromise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3"/>
      <w:bookmarkEnd w:id="3"/>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from Third-party Monitoring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[VENDOR RISK MANAGEMENT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3">
      <w:pPr>
        <w:pStyle w:val="Heading3"/>
        <w:jc w:val="both"/>
        <w:rPr>
          <w:rFonts w:ascii="Roboto" w:cs="Roboto" w:eastAsia="Roboto" w:hAnsi="Roboto"/>
          <w:color w:val="3c78d8"/>
        </w:rPr>
      </w:pPr>
      <w:bookmarkStart w:colFirst="0" w:colLast="0" w:name="_heading=h.3znysh7" w:id="4"/>
      <w:bookmarkEnd w:id="4"/>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w:t>
      </w:r>
      <w:r w:rsidDel="00000000" w:rsidR="00000000" w:rsidRPr="00000000">
        <w:rPr>
          <w:rFonts w:ascii="Roboto" w:cs="Roboto" w:eastAsia="Roboto" w:hAnsi="Roboto"/>
          <w:rtl w:val="0"/>
        </w:rPr>
        <w:t xml:space="preserve">Corporate Security Team (CST)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is made aware of a third-party compromise;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Regardless of the level of the severity, if the incident is confirmed to be spreading to</w:t>
      </w:r>
      <w:r w:rsidDel="00000000" w:rsidR="00000000" w:rsidRPr="00000000">
        <w:rPr>
          <w:rFonts w:ascii="Roboto" w:cs="Roboto" w:eastAsia="Roboto" w:hAnsi="Roboto"/>
          <w:rtl w:val="0"/>
        </w:rPr>
        <w:t xml:space="preserve"> our environment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CSIRT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5"/>
      <w:bookmarkEnd w:id="5"/>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possible scope of resources, accounts, systems, and data that the third party either; has or could obtain access to.</w:t>
      </w:r>
    </w:p>
    <w:p w:rsidR="00000000" w:rsidDel="00000000" w:rsidP="00000000" w:rsidRDefault="00000000" w:rsidRPr="00000000" w14:paraId="00000038">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Contact the Impacted Third Party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legal counsel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INSERT CONTACT]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should be consulted and notified of the potential third-party breach. If our corporate environment has not been impacted, then it will not be possible to verify any malicious activities without contacting the third party for confirmation.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third party’s agreement and due diligence documents can be reviewed to validate their requirement and timeline for notification.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also request that the third party provide a forensic report (when available) and/or a list of Indicators of Compromise (IOCs) to assist in internal threat hunting efforts.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Depending on the scope and extent of the compromise,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may have legal notification obligations. Legal counsel should be informed of any details discovered which indicate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data may have been impacted throughout this process.</w:t>
      </w:r>
    </w:p>
    <w:p w:rsidR="00000000" w:rsidDel="00000000" w:rsidP="00000000" w:rsidRDefault="00000000" w:rsidRPr="00000000" w14:paraId="0000003C">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Engage IR Retainer, as Necessary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IR Retainer is available </w:t>
      </w:r>
      <w:r w:rsidDel="00000000" w:rsidR="00000000" w:rsidRPr="00000000">
        <w:rPr>
          <w:rFonts w:ascii="Roboto" w:cs="Roboto" w:eastAsia="Roboto" w:hAnsi="Roboto"/>
          <w:rtl w:val="0"/>
        </w:rPr>
        <w:t xml:space="preserve">through a third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party: </w:t>
      </w:r>
      <w:r w:rsidDel="00000000" w:rsidR="00000000" w:rsidRPr="00000000">
        <w:rPr>
          <w:rFonts w:ascii="Roboto" w:cs="Roboto" w:eastAsia="Roboto" w:hAnsi="Roboto"/>
          <w:rtl w:val="0"/>
        </w:rPr>
        <w:t xml:space="preserve">[IR COMPANY NAME]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provide outside expertise and advisory services.</w:t>
      </w:r>
    </w:p>
    <w:p w:rsidR="00000000" w:rsidDel="00000000" w:rsidP="00000000" w:rsidRDefault="00000000" w:rsidRPr="00000000" w14:paraId="0000003E">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Hotline:</w:t>
      </w:r>
      <w:r w:rsidDel="00000000" w:rsidR="00000000" w:rsidRPr="00000000">
        <w:rPr>
          <w:rFonts w:ascii="Roboto" w:cs="Roboto" w:eastAsia="Roboto" w:hAnsi="Roboto"/>
          <w:rtl w:val="0"/>
        </w:rPr>
        <w:t xml:space="preserve"> [PHONE]</w:t>
      </w:r>
    </w:p>
    <w:p w:rsidR="00000000" w:rsidDel="00000000" w:rsidP="00000000" w:rsidRDefault="00000000" w:rsidRPr="00000000" w14:paraId="0000003F">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#1]</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0">
      <w:pPr>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b w:val="1"/>
          <w:rtl w:val="0"/>
        </w:rPr>
        <w:t xml:space="preserve">[Contact #2]</w:t>
      </w:r>
      <w:r w:rsidDel="00000000" w:rsidR="00000000" w:rsidRPr="00000000">
        <w:rPr>
          <w:rFonts w:ascii="Roboto" w:cs="Roboto" w:eastAsia="Roboto" w:hAnsi="Roboto"/>
          <w:rtl w:val="0"/>
        </w:rPr>
        <w:t xml:space="preserve">: [PHONE] ext. 123 - [EMAIL]</w:t>
      </w:r>
      <w:r w:rsidDel="00000000" w:rsidR="00000000" w:rsidRPr="00000000">
        <w:rPr>
          <w:rtl w:val="0"/>
        </w:rPr>
      </w:r>
    </w:p>
    <w:p w:rsidR="00000000" w:rsidDel="00000000" w:rsidP="00000000" w:rsidRDefault="00000000" w:rsidRPr="00000000" w14:paraId="00000041">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may be necessary to contact the cyber insurance carrier for assistance in meeting notification requirements.</w:t>
      </w:r>
    </w:p>
    <w:p w:rsidR="00000000" w:rsidDel="00000000" w:rsidP="00000000" w:rsidRDefault="00000000" w:rsidRPr="00000000" w14:paraId="00000043">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[COMPANY] has cyber liability insurance through [PROVIDER NAME]. The CST can contact [POINT OF CONTACT] ([EMAIL ADDRESS]) for assistance in contacting the provider.</w:t>
      </w:r>
    </w:p>
    <w:p w:rsidR="00000000" w:rsidDel="00000000" w:rsidP="00000000" w:rsidRDefault="00000000" w:rsidRPr="00000000" w14:paraId="00000044">
      <w:pPr>
        <w:pStyle w:val="Heading3"/>
        <w:ind w:firstLine="360"/>
        <w:jc w:val="both"/>
        <w:rPr>
          <w:rFonts w:ascii="Roboto" w:cs="Roboto" w:eastAsia="Roboto" w:hAnsi="Roboto"/>
        </w:rPr>
      </w:pPr>
      <w:bookmarkStart w:colFirst="0" w:colLast="0" w:name="_heading=h.tyjcwt" w:id="6"/>
      <w:bookmarkEnd w:id="6"/>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accounts/hosts has been identified,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7">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8">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Monitor Emails from Third Party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After the third party’s access mechanisms have been disabled/reset,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configure an automatic quarantine of any emails from the impacted party’s domain for a probationary period of 30 days or until we have received sufficient confirmation from the impacted that the incident has been contained and remediated. The emails will be reviewed by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confirmed to be non-malicious before they are removed from quarantine and released to the original recipient.</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heading=h.rrio847g19is" w:id="7"/>
      <w:bookmarkEnd w:id="7"/>
      <w:r w:rsidDel="00000000" w:rsidR="00000000" w:rsidRPr="00000000">
        <w:rPr>
          <w:rtl w:val="0"/>
        </w:rPr>
        <w:t xml:space="preserve">Identify Affected Hosts</w:t>
      </w:r>
    </w:p>
    <w:p w:rsidR="00000000" w:rsidDel="00000000" w:rsidP="00000000" w:rsidRDefault="00000000" w:rsidRPr="00000000" w14:paraId="0000004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list of impacted hosts can be generated based on the IOCs collected during the first pass in [EDR] and [SIEM]. Detailed in: [EDR] IOC-based Hunting [LINK TO TECHNOLOGY-SPECIFIC PLAYBOOK] and [SIEM] IOC-based Hunting [LINK TO TECHNOLOGY-SPECIFIC PLAYBOOK].</w:t>
      </w:r>
    </w:p>
    <w:p w:rsidR="00000000" w:rsidDel="00000000" w:rsidP="00000000" w:rsidRDefault="00000000" w:rsidRPr="00000000" w14:paraId="0000004D">
      <w:pPr>
        <w:pStyle w:val="Heading3"/>
        <w:ind w:firstLine="360"/>
        <w:jc w:val="both"/>
        <w:rPr>
          <w:rFonts w:ascii="Roboto" w:cs="Roboto" w:eastAsia="Roboto" w:hAnsi="Roboto"/>
        </w:rPr>
      </w:pPr>
      <w:bookmarkStart w:colFirst="0" w:colLast="0" w:name="_heading=h.3dy6vkm" w:id="8"/>
      <w:bookmarkEnd w:id="8"/>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4F">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The IOCs provided by the third party can be added with an action of “block execution” to prevent the infection mechanism from running. </w:t>
      </w:r>
      <w:r w:rsidDel="00000000" w:rsidR="00000000" w:rsidRPr="00000000">
        <w:rPr>
          <w:rFonts w:ascii="Roboto" w:cs="Roboto" w:eastAsia="Roboto" w:hAnsi="Roboto"/>
          <w:rtl w:val="0"/>
        </w:rPr>
        <w:t xml:space="preserve">Detailed in Adding Custom Indicators [LINK TO TECHNOLOGY-SPECIFIC PLAYBOOK].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53">
      <w:pPr>
        <w:pStyle w:val="Heading2"/>
        <w:jc w:val="both"/>
        <w:rPr>
          <w:rFonts w:ascii="Roboto" w:cs="Roboto" w:eastAsia="Roboto" w:hAnsi="Roboto"/>
        </w:rPr>
      </w:pPr>
      <w:bookmarkStart w:colFirst="0" w:colLast="0" w:name="_heading=h.1t3h5sf"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These steps are only necessary in the event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systems were directly impacted by the third-party breach.</w:t>
      </w:r>
    </w:p>
    <w:p w:rsidR="00000000" w:rsidDel="00000000" w:rsidP="00000000" w:rsidRDefault="00000000" w:rsidRPr="00000000" w14:paraId="00000055">
      <w:pPr>
        <w:pStyle w:val="Heading3"/>
        <w:ind w:firstLine="360"/>
        <w:jc w:val="both"/>
        <w:rPr>
          <w:rFonts w:ascii="Roboto" w:cs="Roboto" w:eastAsia="Roboto" w:hAnsi="Roboto"/>
        </w:rPr>
      </w:pPr>
      <w:bookmarkStart w:colFirst="0" w:colLast="0" w:name="_heading=h.4d34og8"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56">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7">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8">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9">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A">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2s8eyo1" w:id="11"/>
      <w:bookmarkEnd w:id="11"/>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7dp8vu" w:id="12"/>
      <w:bookmarkEnd w:id="12"/>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72">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3">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4">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5">
      <w:pPr>
        <w:numPr>
          <w:ilvl w:val="0"/>
          <w:numId w:val="2"/>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76">
      <w:pPr>
        <w:pStyle w:val="Heading3"/>
        <w:ind w:firstLine="360"/>
        <w:jc w:val="both"/>
        <w:rPr>
          <w:rFonts w:ascii="Roboto" w:cs="Roboto" w:eastAsia="Roboto" w:hAnsi="Roboto"/>
        </w:rPr>
      </w:pPr>
      <w:bookmarkStart w:colFirst="0" w:colLast="0" w:name="_heading=h.3rdcrjn" w:id="13"/>
      <w:bookmarkEnd w:id="13"/>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77">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3">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78">
      <w:pPr>
        <w:pStyle w:val="Heading2"/>
        <w:jc w:val="both"/>
        <w:rPr>
          <w:rFonts w:ascii="Roboto" w:cs="Roboto" w:eastAsia="Roboto" w:hAnsi="Roboto"/>
        </w:rPr>
      </w:pPr>
      <w:bookmarkStart w:colFirst="0" w:colLast="0" w:name="_heading=h.26in1rg" w:id="14"/>
      <w:bookmarkEnd w:id="14"/>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lnxbz9" w:id="15"/>
      <w:bookmarkEnd w:id="15"/>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w:t>
      </w:r>
      <w:r w:rsidDel="00000000" w:rsidR="00000000" w:rsidRPr="00000000">
        <w:rPr>
          <w:rtl w:val="0"/>
        </w:rPr>
      </w:r>
    </w:p>
    <w:p w:rsidR="00000000" w:rsidDel="00000000" w:rsidP="00000000" w:rsidRDefault="00000000" w:rsidRPr="00000000" w14:paraId="0000007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35nkun2" w:id="16"/>
      <w:bookmarkEnd w:id="16"/>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E">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F">
      <w:pPr>
        <w:pStyle w:val="Heading3"/>
        <w:ind w:firstLine="360"/>
        <w:jc w:val="both"/>
        <w:rPr>
          <w:rFonts w:ascii="Roboto" w:cs="Roboto" w:eastAsia="Roboto" w:hAnsi="Roboto"/>
        </w:rPr>
      </w:pPr>
      <w:bookmarkStart w:colFirst="0" w:colLast="0" w:name="_heading=h.1ksv4uv" w:id="17"/>
      <w:bookmarkEnd w:id="17"/>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80">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81">
      <w:pPr>
        <w:pStyle w:val="Heading2"/>
        <w:jc w:val="both"/>
        <w:rPr>
          <w:rFonts w:ascii="Roboto" w:cs="Roboto" w:eastAsia="Roboto" w:hAnsi="Roboto"/>
        </w:rPr>
      </w:pPr>
      <w:bookmarkStart w:colFirst="0" w:colLast="0" w:name="_heading=h.44sinio" w:id="18"/>
      <w:bookmarkEnd w:id="18"/>
      <w:r w:rsidDel="00000000" w:rsidR="00000000" w:rsidRPr="00000000">
        <w:rPr>
          <w:rFonts w:ascii="Roboto" w:cs="Roboto" w:eastAsia="Roboto" w:hAnsi="Roboto"/>
          <w:rtl w:val="0"/>
        </w:rPr>
        <w:t xml:space="preserve">2.5 Recovery</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2jxsxqh" w:id="19"/>
      <w:bookmarkEnd w:id="19"/>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4">
      <w:pPr>
        <w:pStyle w:val="Heading3"/>
        <w:ind w:firstLine="360"/>
        <w:jc w:val="both"/>
        <w:rPr>
          <w:rFonts w:ascii="Roboto" w:cs="Roboto" w:eastAsia="Roboto" w:hAnsi="Roboto"/>
        </w:rPr>
      </w:pPr>
      <w:bookmarkStart w:colFirst="0" w:colLast="0" w:name="_heading=h.z337ya" w:id="20"/>
      <w:bookmarkEnd w:id="20"/>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3j2qqm3" w:id="21"/>
      <w:bookmarkEnd w:id="21"/>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1y810tw" w:id="22"/>
      <w:bookmarkEnd w:id="22"/>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8A">
      <w:pPr>
        <w:pStyle w:val="Heading3"/>
        <w:ind w:firstLine="360"/>
        <w:jc w:val="both"/>
        <w:rPr>
          <w:rFonts w:ascii="Roboto" w:cs="Roboto" w:eastAsia="Roboto" w:hAnsi="Roboto"/>
        </w:rPr>
      </w:pPr>
      <w:bookmarkStart w:colFirst="0" w:colLast="0" w:name="_heading=h.4i7ojhp" w:id="23"/>
      <w:bookmarkEnd w:id="23"/>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8C">
      <w:pPr>
        <w:pStyle w:val="Heading2"/>
        <w:jc w:val="both"/>
        <w:rPr>
          <w:rFonts w:ascii="Roboto" w:cs="Roboto" w:eastAsia="Roboto" w:hAnsi="Roboto"/>
        </w:rPr>
      </w:pPr>
      <w:bookmarkStart w:colFirst="0" w:colLast="0" w:name="_heading=h.2xcytpi" w:id="24"/>
      <w:bookmarkEnd w:id="24"/>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D">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8E">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F">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90">
      <w:pPr>
        <w:pStyle w:val="Subtitle"/>
        <w:numPr>
          <w:ilvl w:val="0"/>
          <w:numId w:val="8"/>
        </w:numPr>
        <w:spacing w:after="0" w:afterAutospacing="0"/>
        <w:ind w:left="720" w:hanging="360"/>
        <w:jc w:val="both"/>
        <w:rPr>
          <w:rFonts w:ascii="Roboto" w:cs="Roboto" w:eastAsia="Roboto" w:hAnsi="Roboto"/>
        </w:rPr>
      </w:pPr>
      <w:bookmarkStart w:colFirst="0" w:colLast="0" w:name="_heading=h.waf29f3iktqt" w:id="25"/>
      <w:bookmarkEnd w:id="25"/>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91">
      <w:pPr>
        <w:pStyle w:val="Subtitle"/>
        <w:numPr>
          <w:ilvl w:val="0"/>
          <w:numId w:val="8"/>
        </w:numPr>
        <w:ind w:left="720" w:hanging="360"/>
        <w:jc w:val="both"/>
        <w:rPr>
          <w:rFonts w:ascii="Roboto" w:cs="Roboto" w:eastAsia="Roboto" w:hAnsi="Roboto"/>
        </w:rPr>
      </w:pPr>
      <w:bookmarkStart w:colFirst="0" w:colLast="0" w:name="_heading=h.pyak7ua734f5" w:id="26"/>
      <w:bookmarkEnd w:id="26"/>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2">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3">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4">
      <w:pPr>
        <w:pStyle w:val="Heading1"/>
        <w:jc w:val="both"/>
        <w:rPr>
          <w:rFonts w:ascii="Roboto" w:cs="Roboto" w:eastAsia="Roboto" w:hAnsi="Roboto"/>
        </w:rPr>
      </w:pPr>
      <w:bookmarkStart w:colFirst="0" w:colLast="0" w:name="_heading=h.1ci93xb" w:id="27"/>
      <w:bookmarkEnd w:id="27"/>
      <w:r w:rsidDel="00000000" w:rsidR="00000000" w:rsidRPr="00000000">
        <w:rPr>
          <w:rFonts w:ascii="Roboto" w:cs="Roboto" w:eastAsia="Roboto" w:hAnsi="Roboto"/>
          <w:rtl w:val="0"/>
        </w:rPr>
        <w:t xml:space="preserve">3. Third Party Compromise Response Checklist</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96">
      <w:pPr>
        <w:pStyle w:val="Heading2"/>
        <w:jc w:val="both"/>
        <w:rPr>
          <w:rFonts w:ascii="Roboto" w:cs="Roboto" w:eastAsia="Roboto" w:hAnsi="Roboto"/>
        </w:rPr>
      </w:pPr>
      <w:bookmarkStart w:colFirst="0" w:colLast="0" w:name="_heading=h.3whwml4" w:id="28"/>
      <w:bookmarkEnd w:id="28"/>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and/or systems could possibly be impacted, and immediately disable/force password resets for them. Closely investigate what activities were performed by the suspected accounts/systems, and contain any which appear to be exhibiting malicious activities: </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Configure an automatic email quarantine for any email coming from the impacted party’s domain. </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Notify internal legal counsel and work with them to determine:</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What the third party’s notification obligations are.</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How best to contact the third party for details regarding the nature and scope of the incident.</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It may be necessary to engage our Incident Response Retainer and Cyber Insurance provider for outside expertise/advisory services.</w:t>
          </w:r>
        </w:sdtContent>
      </w:sdt>
    </w:p>
    <w:p w:rsidR="00000000" w:rsidDel="00000000" w:rsidP="00000000" w:rsidRDefault="00000000" w:rsidRPr="00000000" w14:paraId="000000A4">
      <w:pPr>
        <w:pStyle w:val="Heading2"/>
        <w:jc w:val="both"/>
        <w:rPr>
          <w:rFonts w:ascii="Roboto" w:cs="Roboto" w:eastAsia="Roboto" w:hAnsi="Roboto"/>
        </w:rPr>
      </w:pPr>
      <w:bookmarkStart w:colFirst="0" w:colLast="0" w:name="_heading=h.2bn6wsx" w:id="29"/>
      <w:bookmarkEnd w:id="29"/>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B4">
      <w:pPr>
        <w:pStyle w:val="Heading2"/>
        <w:jc w:val="both"/>
        <w:rPr>
          <w:rFonts w:ascii="Roboto" w:cs="Roboto" w:eastAsia="Roboto" w:hAnsi="Roboto"/>
        </w:rPr>
      </w:pPr>
      <w:bookmarkStart w:colFirst="0" w:colLast="0" w:name="_heading=h.qsh70q" w:id="30"/>
      <w:bookmarkEnd w:id="30"/>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B5">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B6">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4" w:type="default"/>
      <w:footerReference r:id="rId15" w:type="default"/>
      <w:footerReference r:id="rId16"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Third Party Compromise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B8">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B9">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s://github.com/dhiggins19/IR-Playbooks/tree/main/Data-Exfiltration"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20C4Xr8olZtH/hH1WJ4qnOGQw==">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