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7EED" w14:textId="421CC2BC" w:rsidR="00D93D2E" w:rsidRDefault="00790E6A" w:rsidP="004D0C68">
      <w:r w:rsidRPr="00597A07">
        <w:rPr>
          <w:rFonts w:cs="Arial"/>
          <w:b/>
          <w:bCs/>
          <w:noProof/>
        </w:rPr>
        <w:drawing>
          <wp:inline distT="0" distB="0" distL="0" distR="0" wp14:anchorId="4FB65174" wp14:editId="077F84F8">
            <wp:extent cx="5943600" cy="42030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7951" w14:textId="3D0691FB" w:rsidR="00790E6A" w:rsidRDefault="00790E6A" w:rsidP="004D0C68"/>
    <w:p w14:paraId="401B316F" w14:textId="6E4454B3" w:rsidR="00790E6A" w:rsidRDefault="00790E6A" w:rsidP="004D0C68"/>
    <w:p w14:paraId="4E724E03" w14:textId="1227B404" w:rsidR="00790E6A" w:rsidRDefault="00790E6A" w:rsidP="004D0C68"/>
    <w:p w14:paraId="1831B8A6" w14:textId="46857ED0" w:rsidR="00790E6A" w:rsidRDefault="00790E6A" w:rsidP="004D0C68"/>
    <w:p w14:paraId="0A5EC87C" w14:textId="713DE521" w:rsidR="00790E6A" w:rsidRDefault="00790E6A" w:rsidP="004D0C68"/>
    <w:p w14:paraId="6E8C2A02" w14:textId="123474DB" w:rsidR="00790E6A" w:rsidRDefault="00790E6A" w:rsidP="004D0C68"/>
    <w:p w14:paraId="0173BF38" w14:textId="507B69A9" w:rsidR="00790E6A" w:rsidRDefault="00790E6A" w:rsidP="004D0C68"/>
    <w:p w14:paraId="0214BF7C" w14:textId="77777777" w:rsidR="00790E6A" w:rsidRDefault="00790E6A" w:rsidP="004D0C68">
      <w:pPr>
        <w:sectPr w:rsidR="00790E6A" w:rsidSect="007575A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A287654" w14:textId="77777777" w:rsidR="00790E6A" w:rsidRPr="00274389" w:rsidRDefault="00790E6A" w:rsidP="00790E6A">
      <w:pPr>
        <w:pStyle w:val="Heading1"/>
      </w:pPr>
      <w:r w:rsidRPr="00274389">
        <w:lastRenderedPageBreak/>
        <w:t>Summary of thermodynamic data</w:t>
      </w:r>
    </w:p>
    <w:p w14:paraId="1D5028D1" w14:textId="77777777" w:rsidR="00790E6A" w:rsidRDefault="00790E6A" w:rsidP="00790E6A">
      <w:pPr>
        <w:rPr>
          <w:b/>
          <w:bCs/>
        </w:rPr>
      </w:pPr>
    </w:p>
    <w:p w14:paraId="55E6AB36" w14:textId="77777777" w:rsidR="00E449B4" w:rsidRPr="004173C5" w:rsidRDefault="00E449B4" w:rsidP="00E449B4">
      <w:pPr>
        <w:pStyle w:val="Caption"/>
      </w:pPr>
      <w:r w:rsidRPr="004173C5">
        <w:rPr>
          <w:b/>
          <w:bCs/>
        </w:rPr>
        <w:t>Table S</w:t>
      </w:r>
      <w:r w:rsidRPr="004173C5">
        <w:rPr>
          <w:b/>
          <w:bCs/>
        </w:rPr>
        <w:fldChar w:fldCharType="begin"/>
      </w:r>
      <w:r w:rsidRPr="004173C5">
        <w:rPr>
          <w:b/>
          <w:bCs/>
        </w:rPr>
        <w:instrText xml:space="preserve"> SEQ Table_S \* ARABIC </w:instrText>
      </w:r>
      <w:r w:rsidRPr="004173C5">
        <w:rPr>
          <w:b/>
          <w:bCs/>
        </w:rPr>
        <w:fldChar w:fldCharType="separate"/>
      </w:r>
      <w:r w:rsidRPr="004173C5">
        <w:rPr>
          <w:b/>
          <w:bCs/>
          <w:noProof/>
        </w:rPr>
        <w:t>1</w:t>
      </w:r>
      <w:r w:rsidRPr="004173C5">
        <w:rPr>
          <w:b/>
          <w:bCs/>
        </w:rPr>
        <w:fldChar w:fldCharType="end"/>
      </w:r>
      <w:r w:rsidRPr="004173C5">
        <w:t xml:space="preserve">: Thermodynamic </w:t>
      </w:r>
      <w:proofErr w:type="spellStart"/>
      <w:r w:rsidRPr="004173C5">
        <w:t>data</w:t>
      </w:r>
      <w:r w:rsidRPr="004173C5">
        <w:rPr>
          <w:vertAlign w:val="superscript"/>
        </w:rPr>
        <w:t>a</w:t>
      </w:r>
      <w:proofErr w:type="spellEnd"/>
      <w:r w:rsidRPr="004173C5">
        <w:t xml:space="preserve"> from ITC and/or NMR for the binding of guests G1-G5 with hosts TEMOA </w:t>
      </w:r>
      <w:r w:rsidRPr="004173C5">
        <w:rPr>
          <w:b/>
          <w:bCs/>
        </w:rPr>
        <w:t>1</w:t>
      </w:r>
      <w:r w:rsidRPr="004173C5">
        <w:t xml:space="preserve"> and </w:t>
      </w:r>
      <w:proofErr w:type="spellStart"/>
      <w:r w:rsidRPr="004173C5">
        <w:t>TEEtOA</w:t>
      </w:r>
      <w:proofErr w:type="spellEnd"/>
      <w:r w:rsidRPr="004173C5">
        <w:t xml:space="preserve"> </w:t>
      </w:r>
      <w:r w:rsidRPr="004173C5">
        <w:rPr>
          <w:b/>
          <w:bCs/>
        </w:rPr>
        <w:t>2</w:t>
      </w:r>
      <w:r w:rsidRPr="004173C5">
        <w:t>.  All titrations were performed in 10 mM phosphate buffer at pH 11.5.</w:t>
      </w:r>
    </w:p>
    <w:tbl>
      <w:tblPr>
        <w:tblStyle w:val="TableGrid"/>
        <w:tblW w:w="10717" w:type="dxa"/>
        <w:tblInd w:w="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"/>
        <w:gridCol w:w="1244"/>
        <w:gridCol w:w="1245"/>
        <w:gridCol w:w="1244"/>
        <w:gridCol w:w="1245"/>
        <w:gridCol w:w="1245"/>
        <w:gridCol w:w="1244"/>
        <w:gridCol w:w="1245"/>
        <w:gridCol w:w="1245"/>
      </w:tblGrid>
      <w:tr w:rsidR="00E449B4" w:rsidRPr="004173C5" w14:paraId="7BBB713B" w14:textId="77777777" w:rsidTr="005E125B">
        <w:tc>
          <w:tcPr>
            <w:tcW w:w="7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432178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Guest</w:t>
            </w:r>
          </w:p>
        </w:tc>
        <w:tc>
          <w:tcPr>
            <w:tcW w:w="248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67ACD1" w14:textId="77777777" w:rsidR="00E449B4" w:rsidRPr="004173C5" w:rsidRDefault="00E449B4" w:rsidP="005E125B">
            <w:pPr>
              <w:mirrorIndents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5DBEEC" w14:textId="77777777" w:rsidR="00E449B4" w:rsidRPr="004173C5" w:rsidRDefault="00E449B4" w:rsidP="005E125B">
            <w:pPr>
              <w:mirrorIndents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TEMOA 1</w:t>
            </w:r>
          </w:p>
        </w:tc>
        <w:tc>
          <w:tcPr>
            <w:tcW w:w="248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7213E9" w14:textId="77777777" w:rsidR="00E449B4" w:rsidRPr="004173C5" w:rsidRDefault="00E449B4" w:rsidP="005E125B">
            <w:pPr>
              <w:mirrorIndents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490" w:type="dxa"/>
            <w:gridSpan w:val="2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1172C9FC" w14:textId="77777777" w:rsidR="00E449B4" w:rsidRPr="004173C5" w:rsidRDefault="00E449B4" w:rsidP="005E125B">
            <w:pPr>
              <w:mirrorIndents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4173C5">
              <w:rPr>
                <w:rFonts w:cs="Arial"/>
                <w:b/>
                <w:bCs/>
                <w:sz w:val="18"/>
                <w:szCs w:val="18"/>
              </w:rPr>
              <w:t>TEEtOA</w:t>
            </w:r>
            <w:proofErr w:type="spellEnd"/>
            <w:r w:rsidRPr="004173C5">
              <w:rPr>
                <w:rFonts w:cs="Arial"/>
                <w:b/>
                <w:bCs/>
                <w:sz w:val="18"/>
                <w:szCs w:val="18"/>
              </w:rPr>
              <w:t xml:space="preserve"> 2</w:t>
            </w:r>
          </w:p>
        </w:tc>
      </w:tr>
      <w:tr w:rsidR="00E449B4" w:rsidRPr="004173C5" w14:paraId="2A8FAE06" w14:textId="77777777" w:rsidTr="005E125B">
        <w:tc>
          <w:tcPr>
            <w:tcW w:w="760" w:type="dxa"/>
            <w:tcBorders>
              <w:bottom w:val="single" w:sz="4" w:space="0" w:color="auto"/>
              <w:right w:val="single" w:sz="4" w:space="0" w:color="auto"/>
            </w:tcBorders>
          </w:tcPr>
          <w:p w14:paraId="60F3D679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0577CB7C" w14:textId="77777777" w:rsidR="00E449B4" w:rsidRPr="004173C5" w:rsidRDefault="00E449B4" w:rsidP="005E125B">
            <w:pPr>
              <w:mirrorIndents/>
              <w:jc w:val="center"/>
              <w:rPr>
                <w:rFonts w:cs="Arial"/>
                <w:b/>
                <w:bCs/>
                <w:sz w:val="18"/>
                <w:szCs w:val="18"/>
                <w:vertAlign w:val="subscript"/>
              </w:rPr>
            </w:pPr>
            <w:r w:rsidRPr="004173C5">
              <w:rPr>
                <w:rFonts w:cs="Arial"/>
                <w:b/>
                <w:bCs/>
                <w:iCs/>
                <w:sz w:val="18"/>
                <w:szCs w:val="18"/>
              </w:rPr>
              <w:t>log</w:t>
            </w:r>
            <w:r w:rsidRPr="004173C5">
              <w:rPr>
                <w:rFonts w:cs="Arial"/>
                <w:b/>
                <w:bCs/>
                <w:iCs/>
                <w:sz w:val="18"/>
                <w:szCs w:val="18"/>
                <w:vertAlign w:val="subscript"/>
              </w:rPr>
              <w:t>10</w:t>
            </w:r>
            <w:r w:rsidRPr="004173C5">
              <w:rPr>
                <w:rFonts w:cs="Arial"/>
                <w:b/>
                <w:bCs/>
                <w:iCs/>
                <w:sz w:val="18"/>
                <w:szCs w:val="18"/>
              </w:rPr>
              <w:t xml:space="preserve"> </w:t>
            </w:r>
            <w:r w:rsidRPr="004173C5">
              <w:rPr>
                <w:rFonts w:cs="Arial"/>
                <w:b/>
                <w:bCs/>
                <w:i/>
                <w:iCs/>
                <w:sz w:val="18"/>
                <w:szCs w:val="18"/>
              </w:rPr>
              <w:t>K</w:t>
            </w:r>
            <w:r w:rsidRPr="004173C5">
              <w:rPr>
                <w:rFonts w:cs="Arial"/>
                <w:b/>
                <w:bCs/>
                <w:sz w:val="18"/>
                <w:szCs w:val="18"/>
                <w:vertAlign w:val="subscript"/>
              </w:rPr>
              <w:t>a</w:t>
            </w:r>
          </w:p>
          <w:p w14:paraId="5FC5FA42" w14:textId="77777777" w:rsidR="00E449B4" w:rsidRPr="004173C5" w:rsidRDefault="00E449B4" w:rsidP="005E125B">
            <w:pPr>
              <w:mirrorIndents/>
              <w:jc w:val="center"/>
              <w:rPr>
                <w:rFonts w:cs="Arial"/>
                <w:b/>
                <w:bCs/>
                <w:sz w:val="18"/>
                <w:szCs w:val="18"/>
                <w:vertAlign w:val="superscript"/>
              </w:rPr>
            </w:pPr>
          </w:p>
        </w:tc>
        <w:tc>
          <w:tcPr>
            <w:tcW w:w="1245" w:type="dxa"/>
            <w:tcBorders>
              <w:left w:val="nil"/>
              <w:bottom w:val="single" w:sz="4" w:space="0" w:color="auto"/>
            </w:tcBorders>
          </w:tcPr>
          <w:p w14:paraId="491EA83E" w14:textId="77777777" w:rsidR="00E449B4" w:rsidRPr="004173C5" w:rsidRDefault="00E449B4" w:rsidP="005E125B">
            <w:pPr>
              <w:mirrorIndents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Δ</w:t>
            </w:r>
            <w:r w:rsidRPr="004173C5">
              <w:rPr>
                <w:rFonts w:cs="Arial"/>
                <w:b/>
                <w:bCs/>
                <w:i/>
                <w:iCs/>
                <w:sz w:val="18"/>
                <w:szCs w:val="18"/>
              </w:rPr>
              <w:t>G</w:t>
            </w:r>
          </w:p>
          <w:p w14:paraId="38292C70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(kJ mol</w:t>
            </w:r>
            <w:r w:rsidRPr="004173C5">
              <w:rPr>
                <w:rFonts w:cs="Arial"/>
                <w:b/>
                <w:bCs/>
                <w:sz w:val="18"/>
                <w:szCs w:val="18"/>
                <w:vertAlign w:val="superscript"/>
              </w:rPr>
              <w:t>–1</w:t>
            </w:r>
            <w:r w:rsidRPr="004173C5">
              <w:rPr>
                <w:rFonts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1E9A9D54" w14:textId="77777777" w:rsidR="00E449B4" w:rsidRPr="004173C5" w:rsidRDefault="00E449B4" w:rsidP="005E125B">
            <w:pPr>
              <w:mirrorIndents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Δ</w:t>
            </w:r>
            <w:r w:rsidRPr="004173C5">
              <w:rPr>
                <w:rFonts w:cs="Arial"/>
                <w:b/>
                <w:bCs/>
                <w:i/>
                <w:iCs/>
                <w:sz w:val="18"/>
                <w:szCs w:val="18"/>
              </w:rPr>
              <w:t>H</w:t>
            </w:r>
          </w:p>
          <w:p w14:paraId="2C9274C9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(kJ mol</w:t>
            </w:r>
            <w:r w:rsidRPr="004173C5">
              <w:rPr>
                <w:rFonts w:cs="Arial"/>
                <w:b/>
                <w:bCs/>
                <w:sz w:val="18"/>
                <w:szCs w:val="18"/>
                <w:vertAlign w:val="superscript"/>
              </w:rPr>
              <w:t>–1</w:t>
            </w:r>
            <w:r w:rsidRPr="004173C5">
              <w:rPr>
                <w:rFonts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45" w:type="dxa"/>
            <w:tcBorders>
              <w:bottom w:val="single" w:sz="4" w:space="0" w:color="auto"/>
              <w:right w:val="single" w:sz="4" w:space="0" w:color="auto"/>
            </w:tcBorders>
          </w:tcPr>
          <w:p w14:paraId="0997119F" w14:textId="77777777" w:rsidR="00E449B4" w:rsidRPr="004173C5" w:rsidRDefault="00E449B4" w:rsidP="005E125B">
            <w:pPr>
              <w:mirrorIndents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–</w:t>
            </w:r>
            <w:r w:rsidRPr="004173C5">
              <w:rPr>
                <w:rFonts w:cs="Arial"/>
                <w:b/>
                <w:bCs/>
                <w:i/>
                <w:iCs/>
                <w:sz w:val="18"/>
                <w:szCs w:val="18"/>
              </w:rPr>
              <w:t>T</w:t>
            </w:r>
            <w:r w:rsidRPr="004173C5">
              <w:rPr>
                <w:rFonts w:cs="Arial"/>
                <w:b/>
                <w:bCs/>
                <w:sz w:val="18"/>
                <w:szCs w:val="18"/>
              </w:rPr>
              <w:t>Δ</w:t>
            </w:r>
            <w:r w:rsidRPr="004173C5">
              <w:rPr>
                <w:rFonts w:cs="Arial"/>
                <w:b/>
                <w:bCs/>
                <w:i/>
                <w:iCs/>
                <w:sz w:val="18"/>
                <w:szCs w:val="18"/>
              </w:rPr>
              <w:t>S</w:t>
            </w:r>
          </w:p>
          <w:p w14:paraId="038BC8FF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(kJ mol</w:t>
            </w:r>
            <w:r w:rsidRPr="004173C5">
              <w:rPr>
                <w:rFonts w:cs="Arial"/>
                <w:b/>
                <w:bCs/>
                <w:sz w:val="18"/>
                <w:szCs w:val="18"/>
                <w:vertAlign w:val="superscript"/>
              </w:rPr>
              <w:t>–1</w:t>
            </w:r>
            <w:r w:rsidRPr="004173C5">
              <w:rPr>
                <w:rFonts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24AA9603" w14:textId="77777777" w:rsidR="00E449B4" w:rsidRPr="004173C5" w:rsidRDefault="00E449B4" w:rsidP="005E125B">
            <w:pPr>
              <w:mirrorIndents/>
              <w:jc w:val="center"/>
              <w:rPr>
                <w:rFonts w:cs="Arial"/>
                <w:b/>
                <w:bCs/>
                <w:sz w:val="18"/>
                <w:szCs w:val="18"/>
                <w:vertAlign w:val="subscript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log</w:t>
            </w:r>
            <w:r w:rsidRPr="004173C5">
              <w:rPr>
                <w:rFonts w:cs="Arial"/>
                <w:b/>
                <w:bCs/>
                <w:sz w:val="18"/>
                <w:szCs w:val="18"/>
                <w:vertAlign w:val="subscript"/>
              </w:rPr>
              <w:t>10</w:t>
            </w:r>
            <w:r w:rsidRPr="004173C5">
              <w:rPr>
                <w:rFonts w:cs="Arial"/>
                <w:b/>
                <w:bCs/>
                <w:i/>
                <w:iCs/>
                <w:sz w:val="18"/>
                <w:szCs w:val="18"/>
              </w:rPr>
              <w:t xml:space="preserve"> K</w:t>
            </w:r>
            <w:r w:rsidRPr="004173C5">
              <w:rPr>
                <w:rFonts w:cs="Arial"/>
                <w:b/>
                <w:bCs/>
                <w:sz w:val="18"/>
                <w:szCs w:val="18"/>
                <w:vertAlign w:val="subscript"/>
              </w:rPr>
              <w:t>a</w:t>
            </w:r>
          </w:p>
          <w:p w14:paraId="3F49AD7B" w14:textId="77777777" w:rsidR="00E449B4" w:rsidRPr="004173C5" w:rsidRDefault="00E449B4" w:rsidP="005E125B">
            <w:pPr>
              <w:mirrorIndents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  <w:tcBorders>
              <w:left w:val="nil"/>
              <w:bottom w:val="single" w:sz="4" w:space="0" w:color="auto"/>
            </w:tcBorders>
          </w:tcPr>
          <w:p w14:paraId="089130F6" w14:textId="77777777" w:rsidR="00E449B4" w:rsidRPr="004173C5" w:rsidRDefault="00E449B4" w:rsidP="005E125B">
            <w:pPr>
              <w:mirrorIndents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Δ</w:t>
            </w:r>
            <w:r w:rsidRPr="004173C5">
              <w:rPr>
                <w:rFonts w:cs="Arial"/>
                <w:b/>
                <w:bCs/>
                <w:i/>
                <w:iCs/>
                <w:sz w:val="18"/>
                <w:szCs w:val="18"/>
              </w:rPr>
              <w:t>G</w:t>
            </w:r>
          </w:p>
          <w:p w14:paraId="451008B6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(kJ mol</w:t>
            </w:r>
            <w:r w:rsidRPr="004173C5">
              <w:rPr>
                <w:rFonts w:cs="Arial"/>
                <w:b/>
                <w:bCs/>
                <w:sz w:val="18"/>
                <w:szCs w:val="18"/>
                <w:vertAlign w:val="superscript"/>
              </w:rPr>
              <w:t>–1</w:t>
            </w:r>
            <w:r w:rsidRPr="004173C5">
              <w:rPr>
                <w:rFonts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132B0290" w14:textId="77777777" w:rsidR="00E449B4" w:rsidRPr="004173C5" w:rsidRDefault="00E449B4" w:rsidP="005E125B">
            <w:pPr>
              <w:mirrorIndents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Δ</w:t>
            </w:r>
            <w:r w:rsidRPr="004173C5">
              <w:rPr>
                <w:rFonts w:cs="Arial"/>
                <w:b/>
                <w:bCs/>
                <w:i/>
                <w:iCs/>
                <w:sz w:val="18"/>
                <w:szCs w:val="18"/>
              </w:rPr>
              <w:t>H</w:t>
            </w:r>
          </w:p>
          <w:p w14:paraId="740E1CFC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(kJ mol</w:t>
            </w:r>
            <w:r w:rsidRPr="004173C5">
              <w:rPr>
                <w:rFonts w:cs="Arial"/>
                <w:b/>
                <w:bCs/>
                <w:sz w:val="18"/>
                <w:szCs w:val="18"/>
                <w:vertAlign w:val="superscript"/>
              </w:rPr>
              <w:t>–1</w:t>
            </w:r>
            <w:r w:rsidRPr="004173C5">
              <w:rPr>
                <w:rFonts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C7AE51C" w14:textId="77777777" w:rsidR="00E449B4" w:rsidRPr="004173C5" w:rsidRDefault="00E449B4" w:rsidP="005E125B">
            <w:pPr>
              <w:mirrorIndents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–</w:t>
            </w:r>
            <w:r w:rsidRPr="004173C5">
              <w:rPr>
                <w:rFonts w:cs="Arial"/>
                <w:b/>
                <w:bCs/>
                <w:i/>
                <w:iCs/>
                <w:sz w:val="18"/>
                <w:szCs w:val="18"/>
              </w:rPr>
              <w:t>T</w:t>
            </w:r>
            <w:r w:rsidRPr="004173C5">
              <w:rPr>
                <w:rFonts w:cs="Arial"/>
                <w:b/>
                <w:bCs/>
                <w:sz w:val="18"/>
                <w:szCs w:val="18"/>
              </w:rPr>
              <w:t>Δ</w:t>
            </w:r>
            <w:r w:rsidRPr="004173C5">
              <w:rPr>
                <w:rFonts w:cs="Arial"/>
                <w:b/>
                <w:bCs/>
                <w:i/>
                <w:iCs/>
                <w:sz w:val="18"/>
                <w:szCs w:val="18"/>
              </w:rPr>
              <w:t>S</w:t>
            </w:r>
          </w:p>
          <w:p w14:paraId="71B43CDC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(kJ mol</w:t>
            </w:r>
            <w:r w:rsidRPr="004173C5">
              <w:rPr>
                <w:rFonts w:cs="Arial"/>
                <w:b/>
                <w:bCs/>
                <w:sz w:val="18"/>
                <w:szCs w:val="18"/>
                <w:vertAlign w:val="superscript"/>
              </w:rPr>
              <w:t>–1</w:t>
            </w:r>
            <w:r w:rsidRPr="004173C5">
              <w:rPr>
                <w:rFonts w:cs="Arial"/>
                <w:b/>
                <w:bCs/>
                <w:sz w:val="18"/>
                <w:szCs w:val="18"/>
              </w:rPr>
              <w:t>)</w:t>
            </w:r>
          </w:p>
        </w:tc>
      </w:tr>
      <w:tr w:rsidR="00E449B4" w:rsidRPr="004173C5" w14:paraId="6F998B39" w14:textId="77777777" w:rsidTr="005E125B">
        <w:tc>
          <w:tcPr>
            <w:tcW w:w="760" w:type="dxa"/>
            <w:tcBorders>
              <w:top w:val="single" w:sz="4" w:space="0" w:color="auto"/>
              <w:right w:val="single" w:sz="4" w:space="0" w:color="auto"/>
            </w:tcBorders>
          </w:tcPr>
          <w:p w14:paraId="6513D772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G1</w:t>
            </w:r>
          </w:p>
        </w:tc>
        <w:tc>
          <w:tcPr>
            <w:tcW w:w="1244" w:type="dxa"/>
            <w:tcBorders>
              <w:top w:val="single" w:sz="4" w:space="0" w:color="auto"/>
            </w:tcBorders>
          </w:tcPr>
          <w:p w14:paraId="453D2441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5.10 ± 0.04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</w:tcBorders>
          </w:tcPr>
          <w:p w14:paraId="55A4A468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</w:t>
            </w:r>
            <w:r>
              <w:rPr>
                <w:rFonts w:cs="Arial"/>
                <w:sz w:val="18"/>
                <w:szCs w:val="18"/>
              </w:rPr>
              <w:t>29.1</w:t>
            </w:r>
            <w:r w:rsidRPr="004173C5">
              <w:rPr>
                <w:rFonts w:cs="Arial"/>
                <w:sz w:val="18"/>
                <w:szCs w:val="18"/>
              </w:rPr>
              <w:t xml:space="preserve"> ± 0.</w:t>
            </w: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</w:tcBorders>
          </w:tcPr>
          <w:p w14:paraId="28441EF9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–71.2 ± 5.3</w:t>
            </w:r>
          </w:p>
        </w:tc>
        <w:tc>
          <w:tcPr>
            <w:tcW w:w="1245" w:type="dxa"/>
            <w:tcBorders>
              <w:top w:val="single" w:sz="4" w:space="0" w:color="auto"/>
              <w:right w:val="single" w:sz="4" w:space="0" w:color="auto"/>
            </w:tcBorders>
          </w:tcPr>
          <w:p w14:paraId="5864ED3A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42.1 ± 5.1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14:paraId="32EDC1CF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  <w:vertAlign w:val="superscript"/>
              </w:rPr>
            </w:pPr>
            <w:r w:rsidRPr="004173C5">
              <w:rPr>
                <w:rFonts w:cs="Arial"/>
                <w:sz w:val="18"/>
                <w:szCs w:val="18"/>
              </w:rPr>
              <w:t>3.30 ± 0.03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</w:tcBorders>
          </w:tcPr>
          <w:p w14:paraId="6630DFB7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–18.8 ± 0.2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14:paraId="7C034E30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–57.1 ± 0.7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14:paraId="25DB780F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38.3 ± 0.6</w:t>
            </w:r>
          </w:p>
        </w:tc>
      </w:tr>
      <w:tr w:rsidR="00E449B4" w:rsidRPr="004173C5" w14:paraId="61CB1996" w14:textId="77777777" w:rsidTr="005E125B">
        <w:tc>
          <w:tcPr>
            <w:tcW w:w="760" w:type="dxa"/>
            <w:tcBorders>
              <w:right w:val="single" w:sz="4" w:space="0" w:color="auto"/>
            </w:tcBorders>
          </w:tcPr>
          <w:p w14:paraId="707EF740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G2</w:t>
            </w:r>
          </w:p>
        </w:tc>
        <w:tc>
          <w:tcPr>
            <w:tcW w:w="1244" w:type="dxa"/>
          </w:tcPr>
          <w:p w14:paraId="51E041AB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6.17 ± 0.02</w:t>
            </w:r>
          </w:p>
        </w:tc>
        <w:tc>
          <w:tcPr>
            <w:tcW w:w="1245" w:type="dxa"/>
            <w:tcBorders>
              <w:left w:val="nil"/>
            </w:tcBorders>
          </w:tcPr>
          <w:p w14:paraId="23441ADC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–35.2 ± 0.1</w:t>
            </w:r>
          </w:p>
        </w:tc>
        <w:tc>
          <w:tcPr>
            <w:tcW w:w="1244" w:type="dxa"/>
          </w:tcPr>
          <w:p w14:paraId="06C72651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–65.6 ± 1.0</w:t>
            </w:r>
          </w:p>
        </w:tc>
        <w:tc>
          <w:tcPr>
            <w:tcW w:w="1245" w:type="dxa"/>
            <w:tcBorders>
              <w:right w:val="single" w:sz="4" w:space="0" w:color="auto"/>
            </w:tcBorders>
          </w:tcPr>
          <w:p w14:paraId="2115B457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30.3 ± 1.0</w:t>
            </w:r>
          </w:p>
        </w:tc>
        <w:tc>
          <w:tcPr>
            <w:tcW w:w="1245" w:type="dxa"/>
          </w:tcPr>
          <w:p w14:paraId="58B428F3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3.77 ± 0.02</w:t>
            </w:r>
          </w:p>
        </w:tc>
        <w:tc>
          <w:tcPr>
            <w:tcW w:w="1244" w:type="dxa"/>
            <w:tcBorders>
              <w:left w:val="nil"/>
            </w:tcBorders>
          </w:tcPr>
          <w:p w14:paraId="1293C6BA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–21.6 ± 0.1</w:t>
            </w:r>
          </w:p>
        </w:tc>
        <w:tc>
          <w:tcPr>
            <w:tcW w:w="1245" w:type="dxa"/>
          </w:tcPr>
          <w:p w14:paraId="4A3B75E2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–48.7 ± 1.2</w:t>
            </w:r>
          </w:p>
        </w:tc>
        <w:tc>
          <w:tcPr>
            <w:tcW w:w="1245" w:type="dxa"/>
          </w:tcPr>
          <w:p w14:paraId="66262E4C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27.2 ± 1.1</w:t>
            </w:r>
          </w:p>
        </w:tc>
      </w:tr>
      <w:tr w:rsidR="00E449B4" w:rsidRPr="004173C5" w14:paraId="3E9DB006" w14:textId="77777777" w:rsidTr="005E125B">
        <w:tc>
          <w:tcPr>
            <w:tcW w:w="760" w:type="dxa"/>
            <w:tcBorders>
              <w:right w:val="single" w:sz="4" w:space="0" w:color="auto"/>
            </w:tcBorders>
          </w:tcPr>
          <w:p w14:paraId="47A1729F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G3</w:t>
            </w:r>
          </w:p>
        </w:tc>
        <w:tc>
          <w:tcPr>
            <w:tcW w:w="1244" w:type="dxa"/>
          </w:tcPr>
          <w:p w14:paraId="17B72384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4.24 ± 0.02</w:t>
            </w:r>
          </w:p>
        </w:tc>
        <w:tc>
          <w:tcPr>
            <w:tcW w:w="1245" w:type="dxa"/>
            <w:tcBorders>
              <w:left w:val="nil"/>
            </w:tcBorders>
          </w:tcPr>
          <w:p w14:paraId="67DA4C0D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–24.2 ± 0.1</w:t>
            </w:r>
          </w:p>
        </w:tc>
        <w:tc>
          <w:tcPr>
            <w:tcW w:w="1244" w:type="dxa"/>
          </w:tcPr>
          <w:p w14:paraId="3CA48B67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–33.2 ± 1.0</w:t>
            </w:r>
          </w:p>
        </w:tc>
        <w:tc>
          <w:tcPr>
            <w:tcW w:w="1245" w:type="dxa"/>
            <w:tcBorders>
              <w:right w:val="single" w:sz="4" w:space="0" w:color="auto"/>
            </w:tcBorders>
          </w:tcPr>
          <w:p w14:paraId="0F84D1DA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09.0 ± 0.8</w:t>
            </w:r>
          </w:p>
        </w:tc>
        <w:tc>
          <w:tcPr>
            <w:tcW w:w="1245" w:type="dxa"/>
          </w:tcPr>
          <w:p w14:paraId="75734D17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—</w:t>
            </w:r>
            <w:r w:rsidRPr="004173C5">
              <w:rPr>
                <w:rFonts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4" w:type="dxa"/>
            <w:tcBorders>
              <w:left w:val="nil"/>
            </w:tcBorders>
          </w:tcPr>
          <w:p w14:paraId="636174B2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—</w:t>
            </w:r>
            <w:r w:rsidRPr="004173C5">
              <w:rPr>
                <w:rFonts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5" w:type="dxa"/>
          </w:tcPr>
          <w:p w14:paraId="2CC6CEEB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—</w:t>
            </w:r>
            <w:r w:rsidRPr="004173C5">
              <w:rPr>
                <w:rFonts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45" w:type="dxa"/>
          </w:tcPr>
          <w:p w14:paraId="61FCE9AE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—</w:t>
            </w:r>
            <w:r w:rsidRPr="004173C5">
              <w:rPr>
                <w:rFonts w:cs="Arial"/>
                <w:sz w:val="18"/>
                <w:szCs w:val="18"/>
                <w:vertAlign w:val="superscript"/>
              </w:rPr>
              <w:t>b</w:t>
            </w:r>
          </w:p>
        </w:tc>
      </w:tr>
      <w:tr w:rsidR="00E449B4" w:rsidRPr="004173C5" w14:paraId="5915CE0F" w14:textId="77777777" w:rsidTr="005E125B">
        <w:tc>
          <w:tcPr>
            <w:tcW w:w="760" w:type="dxa"/>
            <w:tcBorders>
              <w:right w:val="single" w:sz="4" w:space="0" w:color="auto"/>
            </w:tcBorders>
          </w:tcPr>
          <w:p w14:paraId="42769AAA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G4</w:t>
            </w:r>
          </w:p>
        </w:tc>
        <w:tc>
          <w:tcPr>
            <w:tcW w:w="1244" w:type="dxa"/>
          </w:tcPr>
          <w:p w14:paraId="5B184658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5.66 ± 0.02</w:t>
            </w:r>
          </w:p>
        </w:tc>
        <w:tc>
          <w:tcPr>
            <w:tcW w:w="1245" w:type="dxa"/>
            <w:tcBorders>
              <w:left w:val="nil"/>
            </w:tcBorders>
          </w:tcPr>
          <w:p w14:paraId="4D4F8EF6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–32.3 ± 0.1</w:t>
            </w:r>
          </w:p>
        </w:tc>
        <w:tc>
          <w:tcPr>
            <w:tcW w:w="1244" w:type="dxa"/>
          </w:tcPr>
          <w:p w14:paraId="002C49EA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–74.1 ± 1.4</w:t>
            </w:r>
          </w:p>
        </w:tc>
        <w:tc>
          <w:tcPr>
            <w:tcW w:w="1245" w:type="dxa"/>
            <w:tcBorders>
              <w:right w:val="single" w:sz="4" w:space="0" w:color="auto"/>
            </w:tcBorders>
          </w:tcPr>
          <w:p w14:paraId="3E1C419E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41.8 ± 1.3</w:t>
            </w:r>
          </w:p>
        </w:tc>
        <w:tc>
          <w:tcPr>
            <w:tcW w:w="1245" w:type="dxa"/>
          </w:tcPr>
          <w:p w14:paraId="5D0E194C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3.27 ± 0.03</w:t>
            </w:r>
          </w:p>
        </w:tc>
        <w:tc>
          <w:tcPr>
            <w:tcW w:w="1244" w:type="dxa"/>
            <w:tcBorders>
              <w:left w:val="nil"/>
            </w:tcBorders>
          </w:tcPr>
          <w:p w14:paraId="00ED6B1B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–18.7 ± 0.2</w:t>
            </w:r>
          </w:p>
        </w:tc>
        <w:tc>
          <w:tcPr>
            <w:tcW w:w="1245" w:type="dxa"/>
          </w:tcPr>
          <w:p w14:paraId="2F328CE7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–54.3 ± 3.6</w:t>
            </w:r>
          </w:p>
        </w:tc>
        <w:tc>
          <w:tcPr>
            <w:tcW w:w="1245" w:type="dxa"/>
          </w:tcPr>
          <w:p w14:paraId="41544632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35.6 ± 3.4</w:t>
            </w:r>
          </w:p>
        </w:tc>
      </w:tr>
      <w:tr w:rsidR="00E449B4" w:rsidRPr="004173C5" w14:paraId="5B5C51CE" w14:textId="77777777" w:rsidTr="005E125B">
        <w:tc>
          <w:tcPr>
            <w:tcW w:w="760" w:type="dxa"/>
            <w:tcBorders>
              <w:right w:val="single" w:sz="4" w:space="0" w:color="auto"/>
            </w:tcBorders>
          </w:tcPr>
          <w:p w14:paraId="348EE82C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173C5">
              <w:rPr>
                <w:rFonts w:cs="Arial"/>
                <w:b/>
                <w:bCs/>
                <w:sz w:val="18"/>
                <w:szCs w:val="18"/>
              </w:rPr>
              <w:t>G5</w:t>
            </w:r>
          </w:p>
        </w:tc>
        <w:tc>
          <w:tcPr>
            <w:tcW w:w="1244" w:type="dxa"/>
          </w:tcPr>
          <w:p w14:paraId="696DA7D7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4.89 ± 0.01</w:t>
            </w:r>
          </w:p>
        </w:tc>
        <w:tc>
          <w:tcPr>
            <w:tcW w:w="1245" w:type="dxa"/>
            <w:tcBorders>
              <w:left w:val="nil"/>
            </w:tcBorders>
          </w:tcPr>
          <w:p w14:paraId="2ECCC45D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–27.9 ± 0.1</w:t>
            </w:r>
          </w:p>
        </w:tc>
        <w:tc>
          <w:tcPr>
            <w:tcW w:w="1244" w:type="dxa"/>
          </w:tcPr>
          <w:p w14:paraId="0095F4C9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–59.6 ± 3.2</w:t>
            </w:r>
          </w:p>
        </w:tc>
        <w:tc>
          <w:tcPr>
            <w:tcW w:w="1245" w:type="dxa"/>
            <w:tcBorders>
              <w:right w:val="single" w:sz="4" w:space="0" w:color="auto"/>
            </w:tcBorders>
          </w:tcPr>
          <w:p w14:paraId="13DC840F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31.7 ± 3.1</w:t>
            </w:r>
          </w:p>
        </w:tc>
        <w:tc>
          <w:tcPr>
            <w:tcW w:w="1245" w:type="dxa"/>
          </w:tcPr>
          <w:p w14:paraId="0DC30068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  <w:vertAlign w:val="superscript"/>
              </w:rPr>
            </w:pPr>
            <w:r w:rsidRPr="004173C5">
              <w:rPr>
                <w:rFonts w:cs="Arial"/>
                <w:sz w:val="18"/>
                <w:szCs w:val="18"/>
              </w:rPr>
              <w:t>2.43 ± 0.02</w:t>
            </w:r>
            <w:r w:rsidRPr="004173C5">
              <w:rPr>
                <w:rFonts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4" w:type="dxa"/>
            <w:tcBorders>
              <w:left w:val="nil"/>
            </w:tcBorders>
          </w:tcPr>
          <w:p w14:paraId="0CF3434E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  <w:vertAlign w:val="superscript"/>
              </w:rPr>
            </w:pPr>
            <w:r w:rsidRPr="004173C5">
              <w:rPr>
                <w:rFonts w:cs="Arial"/>
                <w:sz w:val="18"/>
                <w:szCs w:val="18"/>
              </w:rPr>
              <w:t>–13.9 ± 0.1</w:t>
            </w:r>
            <w:r w:rsidRPr="004173C5">
              <w:rPr>
                <w:rFonts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5" w:type="dxa"/>
          </w:tcPr>
          <w:p w14:paraId="6B69B4ED" w14:textId="77777777" w:rsidR="00E449B4" w:rsidRPr="004173C5" w:rsidRDefault="00E449B4" w:rsidP="005E125B">
            <w:pPr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—</w:t>
            </w:r>
          </w:p>
        </w:tc>
        <w:tc>
          <w:tcPr>
            <w:tcW w:w="1245" w:type="dxa"/>
          </w:tcPr>
          <w:p w14:paraId="514EE963" w14:textId="77777777" w:rsidR="00E449B4" w:rsidRPr="004173C5" w:rsidRDefault="00E449B4" w:rsidP="005E125B">
            <w:pPr>
              <w:keepNext/>
              <w:adjustRightInd w:val="0"/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4173C5">
              <w:rPr>
                <w:rFonts w:cs="Arial"/>
                <w:sz w:val="18"/>
                <w:szCs w:val="18"/>
              </w:rPr>
              <w:t>—</w:t>
            </w:r>
          </w:p>
        </w:tc>
      </w:tr>
    </w:tbl>
    <w:p w14:paraId="7FBB39AD" w14:textId="77777777" w:rsidR="00E449B4" w:rsidRPr="004173C5" w:rsidRDefault="00E449B4" w:rsidP="00E449B4">
      <w:pPr>
        <w:ind w:left="720"/>
        <w:rPr>
          <w:rFonts w:cs="Arial"/>
          <w:sz w:val="18"/>
          <w:szCs w:val="18"/>
          <w:vertAlign w:val="superscript"/>
        </w:rPr>
      </w:pPr>
    </w:p>
    <w:p w14:paraId="4CA0ACFD" w14:textId="77777777" w:rsidR="00E449B4" w:rsidRPr="004173C5" w:rsidRDefault="00E449B4" w:rsidP="00E449B4">
      <w:pPr>
        <w:ind w:left="720"/>
        <w:rPr>
          <w:rFonts w:cs="Arial"/>
          <w:sz w:val="18"/>
          <w:szCs w:val="18"/>
        </w:rPr>
      </w:pPr>
      <w:proofErr w:type="spellStart"/>
      <w:r w:rsidRPr="004173C5">
        <w:rPr>
          <w:rFonts w:cs="Arial"/>
          <w:sz w:val="18"/>
          <w:szCs w:val="18"/>
          <w:vertAlign w:val="superscript"/>
        </w:rPr>
        <w:t>a</w:t>
      </w:r>
      <w:proofErr w:type="spellEnd"/>
      <w:r w:rsidRPr="004173C5">
        <w:rPr>
          <w:rFonts w:cs="Arial"/>
          <w:sz w:val="18"/>
          <w:szCs w:val="18"/>
          <w:vertAlign w:val="superscript"/>
        </w:rPr>
        <w:t xml:space="preserve"> </w:t>
      </w:r>
      <w:proofErr w:type="gramStart"/>
      <w:r w:rsidRPr="004173C5">
        <w:rPr>
          <w:rFonts w:cs="Arial"/>
          <w:sz w:val="18"/>
          <w:szCs w:val="18"/>
        </w:rPr>
        <w:t>The</w:t>
      </w:r>
      <w:proofErr w:type="gramEnd"/>
      <w:r w:rsidRPr="004173C5">
        <w:rPr>
          <w:rFonts w:cs="Arial"/>
          <w:sz w:val="18"/>
          <w:szCs w:val="18"/>
        </w:rPr>
        <w:t xml:space="preserve"> Δ</w:t>
      </w:r>
      <w:r w:rsidRPr="004173C5">
        <w:rPr>
          <w:rFonts w:cs="Arial"/>
          <w:i/>
          <w:iCs/>
          <w:sz w:val="18"/>
          <w:szCs w:val="18"/>
        </w:rPr>
        <w:t>H</w:t>
      </w:r>
      <w:r w:rsidRPr="004173C5">
        <w:rPr>
          <w:rFonts w:cs="Arial"/>
          <w:sz w:val="18"/>
          <w:szCs w:val="18"/>
        </w:rPr>
        <w:t xml:space="preserve"> and </w:t>
      </w:r>
      <w:r w:rsidRPr="004173C5">
        <w:rPr>
          <w:rFonts w:cs="Arial"/>
          <w:i/>
          <w:iCs/>
          <w:sz w:val="18"/>
          <w:szCs w:val="18"/>
        </w:rPr>
        <w:t>K</w:t>
      </w:r>
      <w:r w:rsidRPr="004173C5">
        <w:rPr>
          <w:rFonts w:cs="Arial"/>
          <w:sz w:val="18"/>
          <w:szCs w:val="18"/>
          <w:vertAlign w:val="subscript"/>
        </w:rPr>
        <w:t>a</w:t>
      </w:r>
      <w:r w:rsidRPr="004173C5">
        <w:rPr>
          <w:rFonts w:cs="Arial"/>
          <w:sz w:val="18"/>
          <w:szCs w:val="18"/>
        </w:rPr>
        <w:t xml:space="preserve"> values were obtained by carrying out at least three separate experiments, averaging each set of data, and calculating the respective standard deviations. Δ</w:t>
      </w:r>
      <w:r w:rsidRPr="004173C5">
        <w:rPr>
          <w:rFonts w:cs="Arial"/>
          <w:i/>
          <w:iCs/>
          <w:sz w:val="18"/>
          <w:szCs w:val="18"/>
        </w:rPr>
        <w:t>G</w:t>
      </w:r>
      <w:r w:rsidRPr="004173C5">
        <w:rPr>
          <w:rFonts w:cs="Arial"/>
          <w:sz w:val="18"/>
          <w:szCs w:val="18"/>
        </w:rPr>
        <w:t xml:space="preserve"> was obtained from </w:t>
      </w:r>
      <w:r w:rsidRPr="004173C5">
        <w:rPr>
          <w:rFonts w:cs="Arial"/>
          <w:i/>
          <w:iCs/>
          <w:sz w:val="18"/>
          <w:szCs w:val="18"/>
        </w:rPr>
        <w:t>K</w:t>
      </w:r>
      <w:r w:rsidRPr="004173C5">
        <w:rPr>
          <w:rFonts w:cs="Arial"/>
          <w:sz w:val="18"/>
          <w:szCs w:val="18"/>
          <w:vertAlign w:val="subscript"/>
        </w:rPr>
        <w:t>a</w:t>
      </w:r>
      <w:r w:rsidRPr="004173C5">
        <w:rPr>
          <w:rFonts w:cs="Arial"/>
          <w:sz w:val="18"/>
          <w:szCs w:val="18"/>
        </w:rPr>
        <w:t xml:space="preserve"> via the standard thermodynamic equation. The average Δ</w:t>
      </w:r>
      <w:r w:rsidRPr="004173C5">
        <w:rPr>
          <w:rFonts w:cs="Arial"/>
          <w:i/>
          <w:iCs/>
          <w:sz w:val="18"/>
          <w:szCs w:val="18"/>
        </w:rPr>
        <w:t>H</w:t>
      </w:r>
      <w:r w:rsidRPr="004173C5">
        <w:rPr>
          <w:rFonts w:cs="Arial"/>
          <w:sz w:val="18"/>
          <w:szCs w:val="18"/>
        </w:rPr>
        <w:t xml:space="preserve"> and Δ</w:t>
      </w:r>
      <w:r w:rsidRPr="004173C5">
        <w:rPr>
          <w:rFonts w:cs="Arial"/>
          <w:i/>
          <w:iCs/>
          <w:sz w:val="18"/>
          <w:szCs w:val="18"/>
        </w:rPr>
        <w:t>G</w:t>
      </w:r>
      <w:r w:rsidRPr="004173C5">
        <w:rPr>
          <w:rFonts w:cs="Arial"/>
          <w:sz w:val="18"/>
          <w:szCs w:val="18"/>
        </w:rPr>
        <w:t xml:space="preserve"> values were then used to calculate an average –</w:t>
      </w:r>
      <w:r w:rsidRPr="004173C5">
        <w:rPr>
          <w:rFonts w:cs="Arial"/>
          <w:i/>
          <w:iCs/>
          <w:sz w:val="18"/>
          <w:szCs w:val="18"/>
        </w:rPr>
        <w:t>T</w:t>
      </w:r>
      <w:r w:rsidRPr="004173C5">
        <w:rPr>
          <w:rFonts w:cs="Arial"/>
          <w:sz w:val="18"/>
          <w:szCs w:val="18"/>
        </w:rPr>
        <w:t>Δ</w:t>
      </w:r>
      <w:r w:rsidRPr="004173C5">
        <w:rPr>
          <w:rFonts w:cs="Arial"/>
          <w:i/>
          <w:iCs/>
          <w:sz w:val="18"/>
          <w:szCs w:val="18"/>
        </w:rPr>
        <w:t>S</w:t>
      </w:r>
      <w:r w:rsidRPr="004173C5">
        <w:rPr>
          <w:rFonts w:cs="Arial"/>
          <w:sz w:val="18"/>
          <w:szCs w:val="18"/>
        </w:rPr>
        <w:t>, and the corresponding standard deviations calculated using the standard equation for the propagation of uncertainties for subtraction. The deviations in log</w:t>
      </w:r>
      <w:r w:rsidRPr="004173C5">
        <w:rPr>
          <w:rFonts w:cs="Arial"/>
          <w:sz w:val="18"/>
          <w:szCs w:val="18"/>
          <w:vertAlign w:val="subscript"/>
        </w:rPr>
        <w:t>10</w:t>
      </w:r>
      <w:r w:rsidRPr="004173C5">
        <w:rPr>
          <w:rFonts w:cs="Arial"/>
          <w:sz w:val="18"/>
          <w:szCs w:val="18"/>
        </w:rPr>
        <w:t xml:space="preserve"> </w:t>
      </w:r>
      <w:r w:rsidRPr="004173C5">
        <w:rPr>
          <w:rFonts w:cs="Arial"/>
          <w:i/>
          <w:iCs/>
          <w:sz w:val="18"/>
          <w:szCs w:val="18"/>
        </w:rPr>
        <w:t>K</w:t>
      </w:r>
      <w:r w:rsidRPr="004173C5">
        <w:rPr>
          <w:rFonts w:cs="Arial"/>
          <w:sz w:val="18"/>
          <w:szCs w:val="18"/>
          <w:vertAlign w:val="subscript"/>
        </w:rPr>
        <w:t>a</w:t>
      </w:r>
      <w:r w:rsidRPr="004173C5">
        <w:rPr>
          <w:rFonts w:cs="Arial"/>
          <w:sz w:val="18"/>
          <w:szCs w:val="18"/>
        </w:rPr>
        <w:t xml:space="preserve"> and Δ</w:t>
      </w:r>
      <w:r w:rsidRPr="004173C5">
        <w:rPr>
          <w:rFonts w:cs="Arial"/>
          <w:i/>
          <w:iCs/>
          <w:sz w:val="18"/>
          <w:szCs w:val="18"/>
        </w:rPr>
        <w:t>G</w:t>
      </w:r>
      <w:r w:rsidRPr="004173C5">
        <w:rPr>
          <w:rFonts w:cs="Arial"/>
          <w:sz w:val="18"/>
          <w:szCs w:val="18"/>
        </w:rPr>
        <w:t xml:space="preserve"> were obtained by using the standard equation for the propagation of uncertainties for logarithms.</w:t>
      </w:r>
    </w:p>
    <w:p w14:paraId="4B194B96" w14:textId="77777777" w:rsidR="00E449B4" w:rsidRPr="004173C5" w:rsidRDefault="00E449B4" w:rsidP="00E449B4">
      <w:pPr>
        <w:ind w:left="720"/>
        <w:rPr>
          <w:rFonts w:cs="Arial"/>
          <w:sz w:val="18"/>
          <w:szCs w:val="18"/>
        </w:rPr>
      </w:pPr>
    </w:p>
    <w:p w14:paraId="2475A5FE" w14:textId="77777777" w:rsidR="00E449B4" w:rsidRPr="004173C5" w:rsidRDefault="00E449B4" w:rsidP="00E449B4">
      <w:pPr>
        <w:ind w:left="720"/>
        <w:rPr>
          <w:rFonts w:cs="Arial"/>
          <w:sz w:val="18"/>
          <w:szCs w:val="18"/>
        </w:rPr>
      </w:pPr>
      <w:r w:rsidRPr="004173C5">
        <w:rPr>
          <w:rFonts w:cs="Arial"/>
          <w:sz w:val="18"/>
          <w:szCs w:val="18"/>
          <w:vertAlign w:val="superscript"/>
        </w:rPr>
        <w:t>b</w:t>
      </w:r>
      <w:r w:rsidRPr="004173C5">
        <w:rPr>
          <w:rFonts w:cs="Arial"/>
          <w:sz w:val="18"/>
          <w:szCs w:val="18"/>
        </w:rPr>
        <w:t xml:space="preserve"> Binding is too weak to be observed by NMR or ITC.</w:t>
      </w:r>
    </w:p>
    <w:p w14:paraId="506DB559" w14:textId="77777777" w:rsidR="00E449B4" w:rsidRPr="004173C5" w:rsidRDefault="00E449B4" w:rsidP="00E449B4">
      <w:pPr>
        <w:ind w:left="720"/>
        <w:rPr>
          <w:rFonts w:cs="Arial"/>
          <w:sz w:val="18"/>
          <w:szCs w:val="18"/>
        </w:rPr>
      </w:pPr>
    </w:p>
    <w:p w14:paraId="1BD2FA64" w14:textId="322A44F9" w:rsidR="00E449B4" w:rsidRPr="004173C5" w:rsidRDefault="00E449B4" w:rsidP="00E449B4">
      <w:pPr>
        <w:ind w:left="709"/>
        <w:rPr>
          <w:rFonts w:cs="Arial"/>
          <w:sz w:val="18"/>
          <w:szCs w:val="18"/>
        </w:rPr>
        <w:sectPr w:rsidR="00E449B4" w:rsidRPr="004173C5" w:rsidSect="00053D6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4173C5">
        <w:rPr>
          <w:rFonts w:cs="Arial"/>
          <w:sz w:val="18"/>
          <w:szCs w:val="18"/>
        </w:rPr>
        <w:t xml:space="preserve"> </w:t>
      </w:r>
      <w:r w:rsidRPr="004173C5">
        <w:rPr>
          <w:rFonts w:cs="Arial"/>
          <w:sz w:val="18"/>
          <w:szCs w:val="18"/>
          <w:vertAlign w:val="superscript"/>
        </w:rPr>
        <w:t>c</w:t>
      </w:r>
      <w:r w:rsidRPr="004173C5">
        <w:rPr>
          <w:rFonts w:cs="Arial"/>
          <w:sz w:val="18"/>
          <w:szCs w:val="18"/>
        </w:rPr>
        <w:t xml:space="preserve"> Determined by </w:t>
      </w:r>
      <w:r w:rsidRPr="004173C5">
        <w:rPr>
          <w:rFonts w:cs="Arial"/>
          <w:sz w:val="18"/>
          <w:szCs w:val="18"/>
          <w:vertAlign w:val="superscript"/>
        </w:rPr>
        <w:t>1</w:t>
      </w:r>
      <w:r w:rsidRPr="004173C5">
        <w:rPr>
          <w:rFonts w:cs="Arial"/>
          <w:sz w:val="18"/>
          <w:szCs w:val="18"/>
        </w:rPr>
        <w:t>H NMR spectroscopy</w:t>
      </w:r>
    </w:p>
    <w:p w14:paraId="37D650DC" w14:textId="77777777" w:rsidR="00790E6A" w:rsidRDefault="00790E6A" w:rsidP="00E449B4">
      <w:pPr>
        <w:rPr>
          <w:rFonts w:cs="Arial"/>
          <w:sz w:val="18"/>
          <w:szCs w:val="18"/>
        </w:rPr>
      </w:pPr>
    </w:p>
    <w:p w14:paraId="04F0CCA2" w14:textId="1B74CC90" w:rsidR="00790E6A" w:rsidRPr="00790E6A" w:rsidRDefault="00790E6A" w:rsidP="00790E6A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All ITC experiments for TEMOA were performed such that the </w:t>
      </w:r>
      <w:r>
        <w:rPr>
          <w:rFonts w:cs="Arial"/>
          <w:i/>
          <w:iCs/>
          <w:sz w:val="18"/>
          <w:szCs w:val="18"/>
        </w:rPr>
        <w:t>N</w:t>
      </w:r>
      <w:r>
        <w:rPr>
          <w:rFonts w:cs="Arial"/>
          <w:sz w:val="18"/>
          <w:szCs w:val="18"/>
        </w:rPr>
        <w:t xml:space="preserve"> value was allowed to float. For </w:t>
      </w:r>
      <w:proofErr w:type="spellStart"/>
      <w:r>
        <w:rPr>
          <w:rFonts w:cs="Arial"/>
          <w:sz w:val="18"/>
          <w:szCs w:val="18"/>
        </w:rPr>
        <w:t>TEEtOA</w:t>
      </w:r>
      <w:proofErr w:type="spellEnd"/>
      <w:r>
        <w:rPr>
          <w:rFonts w:cs="Arial"/>
          <w:sz w:val="18"/>
          <w:szCs w:val="18"/>
        </w:rPr>
        <w:t xml:space="preserve"> </w:t>
      </w:r>
      <w:r>
        <w:rPr>
          <w:rFonts w:cs="Arial"/>
          <w:i/>
          <w:iCs/>
          <w:sz w:val="18"/>
          <w:szCs w:val="18"/>
        </w:rPr>
        <w:t>N</w:t>
      </w:r>
      <w:r>
        <w:rPr>
          <w:rFonts w:cs="Arial"/>
          <w:sz w:val="18"/>
          <w:szCs w:val="18"/>
        </w:rPr>
        <w:t xml:space="preserve"> was fixed to 1.00, with supporting spectroscopic evidence to corroborate 1:1 binding.</w:t>
      </w:r>
    </w:p>
    <w:p w14:paraId="4F451237" w14:textId="77777777" w:rsidR="00790E6A" w:rsidRDefault="00790E6A" w:rsidP="00790E6A">
      <w:pPr>
        <w:ind w:left="720"/>
        <w:rPr>
          <w:rFonts w:cs="Arial"/>
          <w:sz w:val="18"/>
          <w:szCs w:val="18"/>
        </w:rPr>
      </w:pPr>
    </w:p>
    <w:p w14:paraId="19DAC944" w14:textId="27D8A0FF" w:rsidR="00790E6A" w:rsidRPr="00F56285" w:rsidRDefault="00790E6A" w:rsidP="00790E6A">
      <w:pPr>
        <w:rPr>
          <w:rFonts w:cs="Arial"/>
          <w:sz w:val="18"/>
          <w:szCs w:val="18"/>
        </w:rPr>
        <w:sectPr w:rsidR="00790E6A" w:rsidRPr="00F56285" w:rsidSect="00053D6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9915994" w14:textId="48265842" w:rsidR="00790E6A" w:rsidRPr="004D0C68" w:rsidRDefault="00790E6A" w:rsidP="004D0C68"/>
    <w:sectPr w:rsidR="00790E6A" w:rsidRPr="004D0C68" w:rsidSect="00790E6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6A"/>
    <w:rsid w:val="0003434C"/>
    <w:rsid w:val="0005288F"/>
    <w:rsid w:val="0005730F"/>
    <w:rsid w:val="0008336F"/>
    <w:rsid w:val="00097A49"/>
    <w:rsid w:val="000D4E9C"/>
    <w:rsid w:val="000D7BA9"/>
    <w:rsid w:val="001109D3"/>
    <w:rsid w:val="00112AFC"/>
    <w:rsid w:val="00123B4D"/>
    <w:rsid w:val="00145D9D"/>
    <w:rsid w:val="001A45E9"/>
    <w:rsid w:val="001C4F17"/>
    <w:rsid w:val="001F497B"/>
    <w:rsid w:val="001F5EE0"/>
    <w:rsid w:val="002014DF"/>
    <w:rsid w:val="00223363"/>
    <w:rsid w:val="0023432F"/>
    <w:rsid w:val="0029362D"/>
    <w:rsid w:val="002D4F18"/>
    <w:rsid w:val="002D661B"/>
    <w:rsid w:val="002E5602"/>
    <w:rsid w:val="002F1A25"/>
    <w:rsid w:val="0030418C"/>
    <w:rsid w:val="003302D4"/>
    <w:rsid w:val="003434A6"/>
    <w:rsid w:val="00353307"/>
    <w:rsid w:val="003546DA"/>
    <w:rsid w:val="0037508D"/>
    <w:rsid w:val="003B750D"/>
    <w:rsid w:val="003D3FD0"/>
    <w:rsid w:val="004673F0"/>
    <w:rsid w:val="004D0C68"/>
    <w:rsid w:val="004D7C8A"/>
    <w:rsid w:val="004E6F61"/>
    <w:rsid w:val="004F5E37"/>
    <w:rsid w:val="004F6F08"/>
    <w:rsid w:val="0052667C"/>
    <w:rsid w:val="00543B6E"/>
    <w:rsid w:val="0060785D"/>
    <w:rsid w:val="00636AAE"/>
    <w:rsid w:val="00653084"/>
    <w:rsid w:val="00675EC2"/>
    <w:rsid w:val="00687499"/>
    <w:rsid w:val="006926D0"/>
    <w:rsid w:val="0069723E"/>
    <w:rsid w:val="006A1C26"/>
    <w:rsid w:val="006D5BFF"/>
    <w:rsid w:val="00714878"/>
    <w:rsid w:val="007575AF"/>
    <w:rsid w:val="00790E6A"/>
    <w:rsid w:val="007D6A6D"/>
    <w:rsid w:val="007E6CC4"/>
    <w:rsid w:val="0080187E"/>
    <w:rsid w:val="00833F2F"/>
    <w:rsid w:val="0085438E"/>
    <w:rsid w:val="00857F7F"/>
    <w:rsid w:val="008634B5"/>
    <w:rsid w:val="00866C1A"/>
    <w:rsid w:val="008B533B"/>
    <w:rsid w:val="008B59E2"/>
    <w:rsid w:val="008D35E4"/>
    <w:rsid w:val="009438BF"/>
    <w:rsid w:val="009A2E1C"/>
    <w:rsid w:val="009A4C93"/>
    <w:rsid w:val="009B1D71"/>
    <w:rsid w:val="009B5366"/>
    <w:rsid w:val="009E5AC1"/>
    <w:rsid w:val="00A3085E"/>
    <w:rsid w:val="00A358B2"/>
    <w:rsid w:val="00A53D2A"/>
    <w:rsid w:val="00A55235"/>
    <w:rsid w:val="00A56E0A"/>
    <w:rsid w:val="00AF4FA4"/>
    <w:rsid w:val="00B6241F"/>
    <w:rsid w:val="00BA72FF"/>
    <w:rsid w:val="00BD22B6"/>
    <w:rsid w:val="00BF3B20"/>
    <w:rsid w:val="00C07D96"/>
    <w:rsid w:val="00C2361E"/>
    <w:rsid w:val="00C37A8C"/>
    <w:rsid w:val="00C80CFC"/>
    <w:rsid w:val="00CB6B6C"/>
    <w:rsid w:val="00CD3F5E"/>
    <w:rsid w:val="00D13E8E"/>
    <w:rsid w:val="00D52C72"/>
    <w:rsid w:val="00D6010B"/>
    <w:rsid w:val="00D60DD8"/>
    <w:rsid w:val="00D93D2E"/>
    <w:rsid w:val="00DD328A"/>
    <w:rsid w:val="00DE3E68"/>
    <w:rsid w:val="00E449B4"/>
    <w:rsid w:val="00E5421A"/>
    <w:rsid w:val="00EB2118"/>
    <w:rsid w:val="00EC6BB3"/>
    <w:rsid w:val="00F049A8"/>
    <w:rsid w:val="00F146D4"/>
    <w:rsid w:val="00F2501B"/>
    <w:rsid w:val="00F70D6D"/>
    <w:rsid w:val="00FA2CAB"/>
    <w:rsid w:val="00FE315C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2285"/>
  <w15:chartTrackingRefBased/>
  <w15:docId w15:val="{7014E4C2-04A5-7A48-8E1A-A37EA542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ew Normal"/>
    <w:qFormat/>
    <w:rsid w:val="004D0C68"/>
    <w:pPr>
      <w:contextualSpacing/>
      <w:jc w:val="both"/>
    </w:pPr>
    <w:rPr>
      <w:rFonts w:ascii="Arial" w:hAnsi="Arial"/>
      <w:sz w:val="20"/>
      <w:lang w:val="en-GB"/>
    </w:rPr>
  </w:style>
  <w:style w:type="paragraph" w:styleId="Heading1">
    <w:name w:val="heading 1"/>
    <w:aliases w:val="Arial_heading"/>
    <w:basedOn w:val="Normal"/>
    <w:next w:val="Normal"/>
    <w:link w:val="Heading1Char"/>
    <w:uiPriority w:val="9"/>
    <w:qFormat/>
    <w:rsid w:val="00790E6A"/>
    <w:pPr>
      <w:keepNext/>
      <w:keepLines/>
      <w:spacing w:before="240"/>
      <w:contextualSpacing w:val="0"/>
      <w:outlineLvl w:val="0"/>
    </w:pPr>
    <w:rPr>
      <w:rFonts w:eastAsiaTheme="majorEastAsia" w:cstheme="majorBidi"/>
      <w:b/>
      <w:sz w:val="2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28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5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50D"/>
    <w:rPr>
      <w:rFonts w:ascii="Times New Roman" w:hAnsi="Times New Roman" w:cs="Times New Roman"/>
      <w:sz w:val="18"/>
      <w:szCs w:val="18"/>
      <w:lang w:val="en-GB"/>
    </w:rPr>
  </w:style>
  <w:style w:type="character" w:customStyle="1" w:styleId="Heading1Char">
    <w:name w:val="Heading 1 Char"/>
    <w:aliases w:val="Arial_heading Char"/>
    <w:basedOn w:val="DefaultParagraphFont"/>
    <w:link w:val="Heading1"/>
    <w:uiPriority w:val="9"/>
    <w:rsid w:val="00790E6A"/>
    <w:rPr>
      <w:rFonts w:ascii="Arial" w:eastAsiaTheme="majorEastAsia" w:hAnsi="Arial" w:cstheme="majorBidi"/>
      <w:b/>
      <w:sz w:val="22"/>
      <w:szCs w:val="3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90E6A"/>
    <w:pPr>
      <w:spacing w:after="200"/>
      <w:contextualSpacing w:val="0"/>
      <w:jc w:val="center"/>
    </w:pPr>
    <w:rPr>
      <w:rFonts w:cs="Arial"/>
      <w:iCs/>
      <w:sz w:val="18"/>
      <w:szCs w:val="18"/>
    </w:rPr>
  </w:style>
  <w:style w:type="table" w:styleId="TableGrid">
    <w:name w:val="Table Grid"/>
    <w:basedOn w:val="TableNormal"/>
    <w:uiPriority w:val="59"/>
    <w:rsid w:val="00790E6A"/>
    <w:rPr>
      <w:rFonts w:eastAsiaTheme="minorEastAsia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251</Words>
  <Characters>1434</Characters>
  <Application>Microsoft Office Word</Application>
  <DocSecurity>0</DocSecurity>
  <Lines>11</Lines>
  <Paragraphs>3</Paragraphs>
  <ScaleCrop>false</ScaleCrop>
  <Company>Tulane University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Suating, Paolo</dc:creator>
  <cp:keywords/>
  <dc:description/>
  <cp:lastModifiedBy>Gibb, Bruce</cp:lastModifiedBy>
  <cp:revision>2</cp:revision>
  <dcterms:created xsi:type="dcterms:W3CDTF">2021-03-16T16:05:00Z</dcterms:created>
  <dcterms:modified xsi:type="dcterms:W3CDTF">2021-03-16T16:05:00Z</dcterms:modified>
</cp:coreProperties>
</file>