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 xml:space="preserve">Data Quality Findings Report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Phase 3 — Data Discovery &amp; Profiling</w:t>
      </w:r>
    </w:p>
    <w:p>
      <w:pPr>
        <w:pStyle w:val="Heading1"/>
        <w:spacing w:after="120" w:before="240"/>
      </w:pPr>
      <w:r>
        <w:rPr>
          <w:b/>
          <w:bCs/>
          <w:color w:val="1a1a2e"/>
        </w:rPr>
        <w:t xml:space="preserve">1. Executive Summary</w:t>
      </w:r>
    </w:p>
    <w:p>
      <w:pPr>
        <w:spacing w:after="120"/>
      </w:pPr>
      <w:r>
        <w:t xml:space="preserve">A synthetic full-season dataset (25,750 fan records, 554,301 ticket transactions, 781,785 concession transactions, 373,881 email engagement records, 32,499 NPS responses across 82 games) was generated and profiled to mirror the AS-IS state described in Phase 1. The profiling confirms the core Phase 1 hypothesis with hard numbers: fan identity is fragmented (3.0% duplicate fan records, 25,318 Ticketmaster IDs against 25,000 real fans), the majority of concession spend (72.0%) cannot be tied to a fan at all, and survey-based sentiment (2.52% response rate) is too sparse to rely on alone. These findings directly shape the cleaning rules and modeling choices in Phases 4–7.</w:t>
      </w:r>
    </w:p>
    <w:p>
      <w:pPr>
        <w:pStyle w:val="Heading1"/>
        <w:spacing w:after="120" w:before="240"/>
      </w:pPr>
      <w:r>
        <w:rPr>
          <w:b/>
          <w:bCs/>
          <w:color w:val="1a1a2e"/>
        </w:rPr>
        <w:t xml:space="preserve">2. Dataset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0"/>
        <w:gridCol w:w="3360"/>
        <w:gridCol w:w="2310"/>
      </w:tblGrid>
      <w:tr>
        <w:trPr>
          <w:tblHeader/>
        </w:trPr>
        <w:tc>
          <w:tcPr>
            <w:tcW w:type="dxa" w:w="441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Source System</w:t>
            </w:r>
          </w:p>
        </w:tc>
        <w:tc>
          <w:tcPr>
            <w:tcW w:type="dxa" w:w="336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231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Row Count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 master roster (all systems combined)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25,750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 ticket CRM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season_ticket_accounts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8,500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Schedule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games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Ticketmaster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ticketmaster_transactions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554,301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Oracle MICROS (concessions POS)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micros_transactions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781,785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/ CRM engagement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email_engagement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373,881</w:t>
            </w:r>
          </w:p>
        </w:tc>
      </w:tr>
      <w:tr>
        <w:tc>
          <w:tcPr>
            <w:tcW w:type="dxa" w:w="44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Post-game NPS survey (Google Sheet)</w:t>
            </w:r>
          </w:p>
        </w:tc>
        <w:tc>
          <w:tcPr>
            <w:tcW w:type="dxa" w:w="3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nps_surveys</w:t>
            </w:r>
          </w:p>
        </w:tc>
        <w:tc>
          <w:tcPr>
            <w:tcW w:type="dxa" w:w="231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32,499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a2e"/>
        </w:rPr>
        <w:t xml:space="preserve">3. Findings by Source System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3570"/>
        <w:gridCol w:w="3780"/>
      </w:tblGrid>
      <w:tr>
        <w:trPr>
          <w:tblHeader/>
        </w:trPr>
        <w:tc>
          <w:tcPr>
            <w:tcW w:type="dxa" w:w="273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57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 (with count)</w:t>
            </w:r>
          </w:p>
        </w:tc>
        <w:tc>
          <w:tcPr>
            <w:tcW w:type="dxa" w:w="378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Fan identity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 duplicate fan records (2 registrations for the same person) out of 25,000 true fans — 3.0% of the base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unified fan ID exists across systems. Any campaign, churn score, or CLV calculation run on raw data double-counts these fans.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Fan identity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772 fans (3.0%) have a null email; 2,252 (8.7%) have a null phone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meaningful share of the fan base cannot be reached through at least one channel — affects both marketing targeting and renewal outreach.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Ticketmaster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11,087 transactions (2.0%) have a null price_paid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Revenue and CLV calculations built directly on this field will silently undercount unless nulls are imputed or excluded explicitly.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Ticketmaster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2,743 exact duplicate transactions (0.5%) — same customer, game, date, and price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Double-scanned or re-submitted purchases; counting these as-is inflates both attendance and revenue figures.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Ticketmaster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1,662 transactions (0.3%) reference a game_id that does not exist in the schedule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Orphan foreign keys — these rows cannot be joined to a real game and need to be quarantined or corrected before modeling.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Ticketmaster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25,318 distinct ticketmaster_customer_id values against 25,000 true fans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Roughly 3% of fans hold a second “shadow” customer ID (guest checkout vs. logged-in purchases) — the core identity-resolution problem Phase 4/5 has to solve.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Concessions (MICROS)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563,024 transactions (72.0%) have no fan linkage at all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large majority of gameday spend cannot be tied to a fan today. This is the single biggest gap for building an accurate CLV or personalization model — it caps what fan-level F&amp;B insight is even possible without a POS/loyalty program change.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Concessions (MICROS)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7,817 transactions (1.0%) have a negative amount, unflagged as refunds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These will distort average transaction value calculations unless explicitly separated from valid sales.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engagement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14,817 rows (4.0%) have the recipient email in inconsistent casing (ALL CAPS)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Simple joins on raw email will silently fail to match these back to a fan record unless the join key is normalized (lowercased/trimmed) first.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engagement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3,738 rows (1.0%) have a null recipient email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but non-zero — these engagement records can't be attributed to any fan and should be excluded from fan-level engagement scoring.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survey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9,703 responses (29.9%) have no respondent email at all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Nearly a third of survey sentiment cannot be tied back to a specific fan or account — usable for aggregate sentiment, not for individual churn signals.</w:t>
            </w:r>
          </w:p>
        </w:tc>
      </w:tr>
      <w:tr>
        <w:tc>
          <w:tcPr>
            <w:tcW w:type="dxa" w:w="273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NPS survey</w:t>
            </w:r>
          </w:p>
        </w:tc>
        <w:tc>
          <w:tcPr>
            <w:tcW w:type="dxa" w:w="357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Response rate is 2.52% of total attendance across the season</w:t>
            </w:r>
          </w:p>
        </w:tc>
        <w:tc>
          <w:tcPr>
            <w:tcW w:type="dxa" w:w="378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Survey-based signals alone are far too sparse to be a primary churn indicator; the churn model (Phase 7) needs to lean on attendance and engagement patterns instead.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1a2e"/>
        </w:rPr>
        <w:t xml:space="preserve">4. Implications for Phase 4 (Cleaning &amp; Modeling)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7140"/>
      </w:tblGrid>
      <w:tr>
        <w:trPr>
          <w:tblHeader/>
        </w:trPr>
        <w:tc>
          <w:tcPr>
            <w:tcW w:type="dxa" w:w="294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40"/>
            <w:shd w:fill="1a1a2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Phase 4 needs to do about it</w:t>
            </w:r>
          </w:p>
        </w:tc>
      </w:tr>
      <w:tr>
        <w:tc>
          <w:tcPr>
            <w:tcW w:type="dxa" w:w="29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Fan identity resolution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Build a deterministic + fuzzy-match resolution step in Phase 4 (dbt) to collapse the 750 duplicate fan records and reconcile the ~25,318 Ticketmaster customer IDs down to 25,000 true fans, using name + email + address similarity.</w:t>
            </w:r>
          </w:p>
        </w:tc>
      </w:tr>
      <w:tr>
        <w:tc>
          <w:tcPr>
            <w:tcW w:type="dxa" w:w="29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concession linkage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Accept that 72% of MICROS transactions cannot be fan-attributed with current data. Model F&amp;B revenue at the game/stand level for forecasting (Phase 7 concessions model), and only use the linked 28% for any fan-level spend features.</w:t>
            </w:r>
          </w:p>
        </w:tc>
      </w:tr>
      <w:tr>
        <w:tc>
          <w:tcPr>
            <w:tcW w:type="dxa" w:w="29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and duplicate handling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dbt staging models will explicitly: drop the 2,743 exact-duplicate Ticketmaster rows, quarantine the 1,662 orphan-game rows into a rejects table, and impute or flag (not silently drop) the 11,087 null price_paid rows.</w:t>
            </w:r>
          </w:p>
        </w:tc>
      </w:tr>
      <w:tr>
        <w:tc>
          <w:tcPr>
            <w:tcW w:type="dxa" w:w="29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 normalization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Standardize all email fields (lowercase, trim, strip +suffixes) before any join in the Silver layer, to correctly match the 14,817 mismatched-casing rows.</w:t>
            </w:r>
          </w:p>
        </w:tc>
      </w:tr>
      <w:tr>
        <w:tc>
          <w:tcPr>
            <w:tcW w:type="dxa" w:w="29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Churn signal design</w:t>
            </w:r>
          </w:p>
        </w:tc>
        <w:tc>
          <w:tcPr>
            <w:tcW w:type="dxa" w:w="71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Given the NPS survey's 2.52% response rate, the churn model (Phase 7) will weight attendance-decline and email-disengagement patterns more heavily than survey sentiment, which will be used as a secondary/explanatory signal only.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a1a2e"/>
        </w:rPr>
        <w:t xml:space="preserve">5. Supporting Profiling Reports</w:t>
      </w:r>
    </w:p>
    <w:p>
      <w:pPr>
        <w:spacing w:after="120"/>
      </w:pPr>
      <w:r>
        <w:rPr>
          <w:i/>
          <w:iCs/>
          <w:color w:val="555555"/>
        </w:rPr>
        <w:t xml:space="preserve">Full auto-generated ydata-profiling HTML reports (distributions, correlations, missing-value matrices) are included alongside this document: fans_profile.html, ticketmaster_profile.html, micros_profile.html.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NBA Franchise Fan Revenue Intelligence Engine — Phase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2026-07-22T15:03:36.789Z</dcterms:created>
  <dcterms:modified xsi:type="dcterms:W3CDTF">2026-07-22T15:03:36.798Z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