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2e"/>
          <w:sz w:val="44"/>
          <w:szCs w:val="44"/>
        </w:rPr>
        <w:t xml:space="preserve">Business Requirements Document</w:t>
      </w:r>
    </w:p>
    <w:p>
      <w:pPr>
        <w:spacing w:after="60"/>
        <w:jc w:val="center"/>
      </w:pPr>
      <w:r>
        <w:rPr>
          <w:i/>
          <w:iCs/>
          <w:color w:val="555555"/>
          <w:sz w:val="22"/>
          <w:szCs w:val="22"/>
        </w:rPr>
        <w:t xml:space="preserve">Fan Revenue Intelligence Engine</w:t>
      </w:r>
    </w:p>
    <w:p>
      <w:pPr>
        <w:spacing w:after="300"/>
        <w:jc w:val="center"/>
      </w:pPr>
      <w:r>
        <w:rPr>
          <w:color w:val="555555"/>
          <w:sz w:val="18"/>
          <w:szCs w:val="18"/>
        </w:rPr>
        <w:t xml:space="preserve">Version 1.0  |  Status: Pending Sign-off  |  Prepared by: Business Analyst</w:t>
      </w:r>
    </w:p>
    <w:p>
      <w:pPr>
        <w:pStyle w:val="Heading1"/>
        <w:spacing w:after="120" w:before="240"/>
      </w:pPr>
      <w:r>
        <w:rPr>
          <w:b/>
          <w:bCs/>
          <w:color w:val="1a1a2e"/>
        </w:rPr>
        <w:t xml:space="preserve">1. Purpose</w:t>
      </w:r>
    </w:p>
    <w:p>
      <w:pPr>
        <w:spacing w:after="120"/>
      </w:pPr>
      <w:r>
        <w:t xml:space="preserve">This document translates the pain points and $2.4M cost-of-doing-nothing baseline identified in the Phase 1 AS-IS State Document into formal, testable requirements. It is the basis on which the data pipeline, ML models, and dashboards in Phases 3–9 are built, and the reference used to confirm at project close that what was delivered matches what was asked for.</w:t>
      </w:r>
    </w:p>
    <w:p>
      <w:pPr>
        <w:pStyle w:val="Heading1"/>
        <w:spacing w:after="120" w:before="240"/>
      </w:pPr>
      <w:r>
        <w:rPr>
          <w:b/>
          <w:bCs/>
          <w:color w:val="1a1a2e"/>
        </w:rPr>
        <w:t xml:space="preserve">2. Stakeholder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419"/>
        <w:gridCol w:w="4234"/>
        <w:gridCol w:w="1411"/>
      </w:tblGrid>
      <w:tr>
        <w:trPr>
          <w:tblHeader/>
        </w:trPr>
        <w:tc>
          <w:tcPr>
            <w:tcW w:type="dxa" w:w="2016"/>
            <w:shd w:fill="1a1a2e" w:val="clear"/>
            <w:tcMar>
              <w:top w:type="dxa" w:w="70"/>
              <w:left w:type="dxa" w:w="90"/>
              <w:bottom w:type="dxa" w:w="70"/>
              <w:right w:type="dxa" w:w="90"/>
            </w:tcMar>
          </w:tcPr>
          <w:p>
            <w:r>
              <w:rPr>
                <w:b/>
                <w:bCs/>
                <w:color w:val="FFFFFF"/>
              </w:rPr>
              <w:t xml:space="preserve">Name</w:t>
            </w:r>
          </w:p>
        </w:tc>
        <w:tc>
          <w:tcPr>
            <w:tcW w:type="dxa" w:w="2419"/>
            <w:shd w:fill="1a1a2e" w:val="clear"/>
            <w:tcMar>
              <w:top w:type="dxa" w:w="70"/>
              <w:left w:type="dxa" w:w="90"/>
              <w:bottom w:type="dxa" w:w="70"/>
              <w:right w:type="dxa" w:w="90"/>
            </w:tcMar>
          </w:tcPr>
          <w:p>
            <w:r>
              <w:rPr>
                <w:b/>
                <w:bCs/>
                <w:color w:val="FFFFFF"/>
              </w:rPr>
              <w:t xml:space="preserve">Role</w:t>
            </w:r>
          </w:p>
        </w:tc>
        <w:tc>
          <w:tcPr>
            <w:tcW w:type="dxa" w:w="4234"/>
            <w:shd w:fill="1a1a2e" w:val="clear"/>
            <w:tcMar>
              <w:top w:type="dxa" w:w="70"/>
              <w:left w:type="dxa" w:w="90"/>
              <w:bottom w:type="dxa" w:w="70"/>
              <w:right w:type="dxa" w:w="90"/>
            </w:tcMar>
          </w:tcPr>
          <w:p>
            <w:r>
              <w:rPr>
                <w:b/>
                <w:bCs/>
                <w:color w:val="FFFFFF"/>
              </w:rPr>
              <w:t xml:space="preserve">Interest / Stake</w:t>
            </w:r>
          </w:p>
        </w:tc>
        <w:tc>
          <w:tcPr>
            <w:tcW w:type="dxa" w:w="1411"/>
            <w:shd w:fill="1a1a2e" w:val="clear"/>
            <w:tcMar>
              <w:top w:type="dxa" w:w="70"/>
              <w:left w:type="dxa" w:w="90"/>
              <w:bottom w:type="dxa" w:w="70"/>
              <w:right w:type="dxa" w:w="90"/>
            </w:tcMar>
          </w:tcPr>
          <w:p>
            <w:r>
              <w:rPr>
                <w:b/>
                <w:bCs/>
                <w:color w:val="FFFFFF"/>
              </w:rPr>
              <w:t xml:space="preserve">Sign-off Authority</w:t>
            </w:r>
          </w:p>
        </w:tc>
      </w:tr>
      <w:tr>
        <w:tc>
          <w:tcPr>
            <w:tcW w:type="dxa" w:w="2016"/>
            <w:tcMar>
              <w:top w:type="dxa" w:w="70"/>
              <w:left w:type="dxa" w:w="90"/>
              <w:bottom w:type="dxa" w:w="70"/>
              <w:right w:type="dxa" w:w="90"/>
            </w:tcMar>
          </w:tcPr>
          <w:p>
            <w:r>
              <w:rPr>
                <w:b w:val="false"/>
                <w:bCs w:val="false"/>
                <w:color w:val="000000"/>
              </w:rPr>
              <w:t xml:space="preserve">Sarah Coleman</w:t>
            </w:r>
          </w:p>
        </w:tc>
        <w:tc>
          <w:tcPr>
            <w:tcW w:type="dxa" w:w="2419"/>
            <w:tcMar>
              <w:top w:type="dxa" w:w="70"/>
              <w:left w:type="dxa" w:w="90"/>
              <w:bottom w:type="dxa" w:w="70"/>
              <w:right w:type="dxa" w:w="90"/>
            </w:tcMar>
          </w:tcPr>
          <w:p>
            <w:r>
              <w:rPr>
                <w:b w:val="false"/>
                <w:bCs w:val="false"/>
                <w:color w:val="000000"/>
              </w:rPr>
              <w:t xml:space="preserve">VP of Marketing</w:t>
            </w:r>
          </w:p>
        </w:tc>
        <w:tc>
          <w:tcPr>
            <w:tcW w:type="dxa" w:w="4234"/>
            <w:tcMar>
              <w:top w:type="dxa" w:w="70"/>
              <w:left w:type="dxa" w:w="90"/>
              <w:bottom w:type="dxa" w:w="70"/>
              <w:right w:type="dxa" w:w="90"/>
            </w:tcMar>
          </w:tcPr>
          <w:p>
            <w:r>
              <w:rPr>
                <w:b w:val="false"/>
                <w:bCs w:val="false"/>
                <w:color w:val="000000"/>
              </w:rPr>
              <w:t xml:space="preserve">Campaign targeting accuracy; sponsorship reporting numbers</w:t>
            </w:r>
          </w:p>
        </w:tc>
        <w:tc>
          <w:tcPr>
            <w:tcW w:type="dxa" w:w="1411"/>
            <w:tcMar>
              <w:top w:type="dxa" w:w="70"/>
              <w:left w:type="dxa" w:w="90"/>
              <w:bottom w:type="dxa" w:w="70"/>
              <w:right w:type="dxa" w:w="90"/>
            </w:tcMar>
          </w:tcPr>
          <w:p>
            <w:r>
              <w:rPr>
                <w:b w:val="false"/>
                <w:bCs w:val="false"/>
                <w:color w:val="000000"/>
              </w:rPr>
              <w:t xml:space="preserve">Yes</w:t>
            </w:r>
          </w:p>
        </w:tc>
      </w:tr>
      <w:tr>
        <w:tc>
          <w:tcPr>
            <w:tcW w:type="dxa" w:w="2016"/>
            <w:tcMar>
              <w:top w:type="dxa" w:w="70"/>
              <w:left w:type="dxa" w:w="90"/>
              <w:bottom w:type="dxa" w:w="70"/>
              <w:right w:type="dxa" w:w="90"/>
            </w:tcMar>
          </w:tcPr>
          <w:p>
            <w:r>
              <w:rPr>
                <w:b w:val="false"/>
                <w:bCs w:val="false"/>
                <w:color w:val="000000"/>
              </w:rPr>
              <w:t xml:space="preserve">Marcus Webb</w:t>
            </w:r>
          </w:p>
        </w:tc>
        <w:tc>
          <w:tcPr>
            <w:tcW w:type="dxa" w:w="2419"/>
            <w:tcMar>
              <w:top w:type="dxa" w:w="70"/>
              <w:left w:type="dxa" w:w="90"/>
              <w:bottom w:type="dxa" w:w="70"/>
              <w:right w:type="dxa" w:w="90"/>
            </w:tcMar>
          </w:tcPr>
          <w:p>
            <w:r>
              <w:rPr>
                <w:b w:val="false"/>
                <w:bCs w:val="false"/>
                <w:color w:val="000000"/>
              </w:rPr>
              <w:t xml:space="preserve">Director of Ticket Sales</w:t>
            </w:r>
          </w:p>
        </w:tc>
        <w:tc>
          <w:tcPr>
            <w:tcW w:type="dxa" w:w="4234"/>
            <w:tcMar>
              <w:top w:type="dxa" w:w="70"/>
              <w:left w:type="dxa" w:w="90"/>
              <w:bottom w:type="dxa" w:w="70"/>
              <w:right w:type="dxa" w:w="90"/>
            </w:tcMar>
          </w:tcPr>
          <w:p>
            <w:r>
              <w:rPr>
                <w:b w:val="false"/>
                <w:bCs w:val="false"/>
                <w:color w:val="000000"/>
              </w:rPr>
              <w:t xml:space="preserve">Churn score adoption in renewal workflow; rep prep time</w:t>
            </w:r>
          </w:p>
        </w:tc>
        <w:tc>
          <w:tcPr>
            <w:tcW w:type="dxa" w:w="1411"/>
            <w:tcMar>
              <w:top w:type="dxa" w:w="70"/>
              <w:left w:type="dxa" w:w="90"/>
              <w:bottom w:type="dxa" w:w="70"/>
              <w:right w:type="dxa" w:w="90"/>
            </w:tcMar>
          </w:tcPr>
          <w:p>
            <w:r>
              <w:rPr>
                <w:b w:val="false"/>
                <w:bCs w:val="false"/>
                <w:color w:val="000000"/>
              </w:rPr>
              <w:t xml:space="preserve">Yes</w:t>
            </w:r>
          </w:p>
        </w:tc>
      </w:tr>
      <w:tr>
        <w:tc>
          <w:tcPr>
            <w:tcW w:type="dxa" w:w="2016"/>
            <w:tcMar>
              <w:top w:type="dxa" w:w="70"/>
              <w:left w:type="dxa" w:w="90"/>
              <w:bottom w:type="dxa" w:w="70"/>
              <w:right w:type="dxa" w:w="90"/>
            </w:tcMar>
          </w:tcPr>
          <w:p>
            <w:r>
              <w:rPr>
                <w:b w:val="false"/>
                <w:bCs w:val="false"/>
                <w:color w:val="000000"/>
              </w:rPr>
              <w:t xml:space="preserve">Diane Ruiz</w:t>
            </w:r>
          </w:p>
        </w:tc>
        <w:tc>
          <w:tcPr>
            <w:tcW w:type="dxa" w:w="2419"/>
            <w:tcMar>
              <w:top w:type="dxa" w:w="70"/>
              <w:left w:type="dxa" w:w="90"/>
              <w:bottom w:type="dxa" w:w="70"/>
              <w:right w:type="dxa" w:w="90"/>
            </w:tcMar>
          </w:tcPr>
          <w:p>
            <w:r>
              <w:rPr>
                <w:b w:val="false"/>
                <w:bCs w:val="false"/>
                <w:color w:val="000000"/>
              </w:rPr>
              <w:t xml:space="preserve">Arena General Manager</w:t>
            </w:r>
          </w:p>
        </w:tc>
        <w:tc>
          <w:tcPr>
            <w:tcW w:type="dxa" w:w="4234"/>
            <w:tcMar>
              <w:top w:type="dxa" w:w="70"/>
              <w:left w:type="dxa" w:w="90"/>
              <w:bottom w:type="dxa" w:w="70"/>
              <w:right w:type="dxa" w:w="90"/>
            </w:tcMar>
          </w:tcPr>
          <w:p>
            <w:r>
              <w:rPr>
                <w:b w:val="false"/>
                <w:bCs w:val="false"/>
                <w:color w:val="000000"/>
              </w:rPr>
              <w:t xml:space="preserve">Concessions forecast accuracy; real-time gameday ops dashboard</w:t>
            </w:r>
          </w:p>
        </w:tc>
        <w:tc>
          <w:tcPr>
            <w:tcW w:type="dxa" w:w="1411"/>
            <w:tcMar>
              <w:top w:type="dxa" w:w="70"/>
              <w:left w:type="dxa" w:w="90"/>
              <w:bottom w:type="dxa" w:w="70"/>
              <w:right w:type="dxa" w:w="90"/>
            </w:tcMar>
          </w:tcPr>
          <w:p>
            <w:r>
              <w:rPr>
                <w:b w:val="false"/>
                <w:bCs w:val="false"/>
                <w:color w:val="000000"/>
              </w:rPr>
              <w:t xml:space="preserve">Yes</w:t>
            </w:r>
          </w:p>
        </w:tc>
      </w:tr>
      <w:tr>
        <w:tc>
          <w:tcPr>
            <w:tcW w:type="dxa" w:w="2016"/>
            <w:tcMar>
              <w:top w:type="dxa" w:w="70"/>
              <w:left w:type="dxa" w:w="90"/>
              <w:bottom w:type="dxa" w:w="70"/>
              <w:right w:type="dxa" w:w="90"/>
            </w:tcMar>
          </w:tcPr>
          <w:p>
            <w:r>
              <w:rPr>
                <w:b w:val="false"/>
                <w:bCs w:val="false"/>
                <w:color w:val="000000"/>
              </w:rPr>
              <w:t xml:space="preserve">VP of Business Operations</w:t>
            </w:r>
          </w:p>
        </w:tc>
        <w:tc>
          <w:tcPr>
            <w:tcW w:type="dxa" w:w="2419"/>
            <w:tcMar>
              <w:top w:type="dxa" w:w="70"/>
              <w:left w:type="dxa" w:w="90"/>
              <w:bottom w:type="dxa" w:w="70"/>
              <w:right w:type="dxa" w:w="90"/>
            </w:tcMar>
          </w:tcPr>
          <w:p>
            <w:r>
              <w:rPr>
                <w:b w:val="false"/>
                <w:bCs w:val="false"/>
                <w:color w:val="000000"/>
              </w:rPr>
              <w:t xml:space="preserve">Executive Sponsor</w:t>
            </w:r>
          </w:p>
        </w:tc>
        <w:tc>
          <w:tcPr>
            <w:tcW w:type="dxa" w:w="4234"/>
            <w:tcMar>
              <w:top w:type="dxa" w:w="70"/>
              <w:left w:type="dxa" w:w="90"/>
              <w:bottom w:type="dxa" w:w="70"/>
              <w:right w:type="dxa" w:w="90"/>
            </w:tcMar>
          </w:tcPr>
          <w:p>
            <w:r>
              <w:rPr>
                <w:b w:val="false"/>
                <w:bCs w:val="false"/>
                <w:color w:val="000000"/>
              </w:rPr>
              <w:t xml:space="preserve">Owns the business case; final go/no-go on the $2.4M target</w:t>
            </w:r>
          </w:p>
        </w:tc>
        <w:tc>
          <w:tcPr>
            <w:tcW w:type="dxa" w:w="1411"/>
            <w:tcMar>
              <w:top w:type="dxa" w:w="70"/>
              <w:left w:type="dxa" w:w="90"/>
              <w:bottom w:type="dxa" w:w="70"/>
              <w:right w:type="dxa" w:w="90"/>
            </w:tcMar>
          </w:tcPr>
          <w:p>
            <w:r>
              <w:rPr>
                <w:b w:val="false"/>
                <w:bCs w:val="false"/>
                <w:color w:val="000000"/>
              </w:rPr>
              <w:t xml:space="preserve">Yes</w:t>
            </w:r>
          </w:p>
        </w:tc>
      </w:tr>
    </w:tbl>
    <w:p>
      <w:pPr>
        <w:pStyle w:val="Heading1"/>
        <w:spacing w:after="120" w:before="240"/>
      </w:pPr>
      <w:r>
        <w:rPr>
          <w:b/>
          <w:bCs/>
          <w:color w:val="1a1a2e"/>
        </w:rPr>
        <w:t xml:space="preserve">3. Scope</w:t>
      </w:r>
    </w:p>
    <w:p>
      <w:pPr>
        <w:spacing w:after="120"/>
      </w:pPr>
      <w:r>
        <w:t xml:space="preserve">In scope: unified fan data across ticketing, concessions/F&amp;B, email/CRM, and post-game NPS survey sources, for one synthetic NBA franchise, covering one full synthetic season. Churn prediction, dynamic pricing, concessions forecasting, sponsor audience scoring, executive/operational dashboards, a real-time matchday layer, and a natural-language insights co-pilot.</w:t>
      </w:r>
    </w:p>
    <w:p>
      <w:pPr>
        <w:spacing w:after="120"/>
      </w:pPr>
      <w:r>
        <w:t xml:space="preserve">Out of scope: any real fan PII, live integration with actual Ticketmaster, Salesforce, or Oracle MICROS APIs, mobile app development, real payment processing, and multi-franchise or multi-season comparative analysis.</w:t>
      </w:r>
    </w:p>
    <w:p>
      <w:r>
        <w:br w:type="page"/>
      </w:r>
    </w:p>
    <w:p>
      <w:pPr>
        <w:pStyle w:val="Heading1"/>
        <w:spacing w:after="120" w:before="240"/>
      </w:pPr>
      <w:r>
        <w:rPr>
          <w:b/>
          <w:bCs/>
          <w:color w:val="1a1a2e"/>
        </w:rPr>
        <w:t xml:space="preserve">4. Functional Requirements</w:t>
      </w:r>
    </w:p>
    <w:p>
      <w:pPr>
        <w:spacing w:after="120"/>
      </w:pPr>
      <w:r>
        <w:rPr>
          <w:i/>
          <w:iCs/>
          <w:color w:val="555555"/>
        </w:rPr>
        <w:t xml:space="preserve">Priority follows MoSCoW: Must / Should / Could. "Must" requirements block Phase 10 sign-off if unmet.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5"/>
        <w:gridCol w:w="3902"/>
        <w:gridCol w:w="975"/>
        <w:gridCol w:w="4227"/>
      </w:tblGrid>
      <w:tr>
        <w:trPr>
          <w:tblHeader/>
        </w:trPr>
        <w:tc>
          <w:tcPr>
            <w:tcW w:type="dxa" w:w="975"/>
            <w:shd w:fill="1a1a2e" w:val="clear"/>
            <w:tcMar>
              <w:top w:type="dxa" w:w="70"/>
              <w:left w:type="dxa" w:w="90"/>
              <w:bottom w:type="dxa" w:w="70"/>
              <w:right w:type="dxa" w:w="90"/>
            </w:tcMar>
          </w:tcPr>
          <w:p>
            <w:r>
              <w:rPr>
                <w:b/>
                <w:bCs/>
                <w:color w:val="FFFFFF"/>
                <w:sz w:val="18"/>
                <w:szCs w:val="18"/>
              </w:rPr>
              <w:t xml:space="preserve">ID</w:t>
            </w:r>
          </w:p>
        </w:tc>
        <w:tc>
          <w:tcPr>
            <w:tcW w:type="dxa" w:w="3902"/>
            <w:shd w:fill="1a1a2e" w:val="clear"/>
            <w:tcMar>
              <w:top w:type="dxa" w:w="70"/>
              <w:left w:type="dxa" w:w="90"/>
              <w:bottom w:type="dxa" w:w="70"/>
              <w:right w:type="dxa" w:w="90"/>
            </w:tcMar>
          </w:tcPr>
          <w:p>
            <w:r>
              <w:rPr>
                <w:b/>
                <w:bCs/>
                <w:color w:val="FFFFFF"/>
                <w:sz w:val="18"/>
                <w:szCs w:val="18"/>
              </w:rPr>
              <w:t xml:space="preserve">Requirement</w:t>
            </w:r>
          </w:p>
        </w:tc>
        <w:tc>
          <w:tcPr>
            <w:tcW w:type="dxa" w:w="975"/>
            <w:shd w:fill="1a1a2e" w:val="clear"/>
            <w:tcMar>
              <w:top w:type="dxa" w:w="70"/>
              <w:left w:type="dxa" w:w="90"/>
              <w:bottom w:type="dxa" w:w="70"/>
              <w:right w:type="dxa" w:w="90"/>
            </w:tcMar>
          </w:tcPr>
          <w:p>
            <w:r>
              <w:rPr>
                <w:b/>
                <w:bCs/>
                <w:color w:val="FFFFFF"/>
                <w:sz w:val="18"/>
                <w:szCs w:val="18"/>
              </w:rPr>
              <w:t xml:space="preserve">Priority</w:t>
            </w:r>
          </w:p>
        </w:tc>
        <w:tc>
          <w:tcPr>
            <w:tcW w:type="dxa" w:w="4227"/>
            <w:shd w:fill="1a1a2e" w:val="clear"/>
            <w:tcMar>
              <w:top w:type="dxa" w:w="70"/>
              <w:left w:type="dxa" w:w="90"/>
              <w:bottom w:type="dxa" w:w="70"/>
              <w:right w:type="dxa" w:w="90"/>
            </w:tcMar>
          </w:tcPr>
          <w:p>
            <w:r>
              <w:rPr>
                <w:b/>
                <w:bCs/>
                <w:color w:val="FFFFFF"/>
                <w:sz w:val="18"/>
                <w:szCs w:val="18"/>
              </w:rPr>
              <w:t xml:space="preserve">Acceptance Criteria</w:t>
            </w:r>
          </w:p>
        </w:tc>
      </w:tr>
      <w:tr>
        <w:tc>
          <w:tcPr>
            <w:tcW w:type="dxa" w:w="975"/>
            <w:tcMar>
              <w:top w:type="dxa" w:w="70"/>
              <w:left w:type="dxa" w:w="90"/>
              <w:bottom w:type="dxa" w:w="70"/>
              <w:right w:type="dxa" w:w="90"/>
            </w:tcMar>
          </w:tcPr>
          <w:p>
            <w:r>
              <w:rPr>
                <w:b w:val="false"/>
                <w:bCs w:val="false"/>
                <w:color w:val="000000"/>
                <w:sz w:val="18"/>
                <w:szCs w:val="18"/>
              </w:rPr>
              <w:t xml:space="preserve">FR-01</w:t>
            </w:r>
          </w:p>
        </w:tc>
        <w:tc>
          <w:tcPr>
            <w:tcW w:type="dxa" w:w="3902"/>
            <w:tcMar>
              <w:top w:type="dxa" w:w="70"/>
              <w:left w:type="dxa" w:w="90"/>
              <w:bottom w:type="dxa" w:w="70"/>
              <w:right w:type="dxa" w:w="90"/>
            </w:tcMar>
          </w:tcPr>
          <w:p>
            <w:r>
              <w:rPr>
                <w:b w:val="false"/>
                <w:bCs w:val="false"/>
                <w:color w:val="000000"/>
                <w:sz w:val="18"/>
                <w:szCs w:val="18"/>
              </w:rPr>
              <w:t xml:space="preserve">Assign a single unique fan ID across ticketing, F&amp;B, email, and survey data sources</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100% of synthetic fan records resolve to exactly one fan_id in the Gold layer; zero duplicate fan_id for the same underlying person</w:t>
            </w:r>
          </w:p>
        </w:tc>
      </w:tr>
      <w:tr>
        <w:tc>
          <w:tcPr>
            <w:tcW w:type="dxa" w:w="975"/>
            <w:tcMar>
              <w:top w:type="dxa" w:w="70"/>
              <w:left w:type="dxa" w:w="90"/>
              <w:bottom w:type="dxa" w:w="70"/>
              <w:right w:type="dxa" w:w="90"/>
            </w:tcMar>
          </w:tcPr>
          <w:p>
            <w:r>
              <w:rPr>
                <w:b w:val="false"/>
                <w:bCs w:val="false"/>
                <w:color w:val="000000"/>
                <w:sz w:val="18"/>
                <w:szCs w:val="18"/>
              </w:rPr>
              <w:t xml:space="preserve">FR-02</w:t>
            </w:r>
          </w:p>
        </w:tc>
        <w:tc>
          <w:tcPr>
            <w:tcW w:type="dxa" w:w="3902"/>
            <w:tcMar>
              <w:top w:type="dxa" w:w="70"/>
              <w:left w:type="dxa" w:w="90"/>
              <w:bottom w:type="dxa" w:w="70"/>
              <w:right w:type="dxa" w:w="90"/>
            </w:tcMar>
          </w:tcPr>
          <w:p>
            <w:r>
              <w:rPr>
                <w:b w:val="false"/>
                <w:bCs w:val="false"/>
                <w:color w:val="000000"/>
                <w:sz w:val="18"/>
                <w:szCs w:val="18"/>
              </w:rPr>
              <w:t xml:space="preserve">Refresh fan data on a daily batch cadence, with near-real-time refresh on matchdays</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Airflow DAG completes Bronze→Gold in under 15 minutes on the full synthetic dataset; matchday Kafka events reflected within 30 seconds</w:t>
            </w:r>
          </w:p>
        </w:tc>
      </w:tr>
      <w:tr>
        <w:tc>
          <w:tcPr>
            <w:tcW w:type="dxa" w:w="975"/>
            <w:tcMar>
              <w:top w:type="dxa" w:w="70"/>
              <w:left w:type="dxa" w:w="90"/>
              <w:bottom w:type="dxa" w:w="70"/>
              <w:right w:type="dxa" w:w="90"/>
            </w:tcMar>
          </w:tcPr>
          <w:p>
            <w:r>
              <w:rPr>
                <w:b w:val="false"/>
                <w:bCs w:val="false"/>
                <w:color w:val="000000"/>
                <w:sz w:val="18"/>
                <w:szCs w:val="18"/>
              </w:rPr>
              <w:t xml:space="preserve">FR-03</w:t>
            </w:r>
          </w:p>
        </w:tc>
        <w:tc>
          <w:tcPr>
            <w:tcW w:type="dxa" w:w="3902"/>
            <w:tcMar>
              <w:top w:type="dxa" w:w="70"/>
              <w:left w:type="dxa" w:w="90"/>
              <w:bottom w:type="dxa" w:w="70"/>
              <w:right w:type="dxa" w:w="90"/>
            </w:tcMar>
          </w:tcPr>
          <w:p>
            <w:r>
              <w:rPr>
                <w:b w:val="false"/>
                <w:bCs w:val="false"/>
                <w:color w:val="000000"/>
                <w:sz w:val="18"/>
                <w:szCs w:val="18"/>
              </w:rPr>
              <w:t xml:space="preserve">Produce a churn risk score (0–100) for every active season ticket holder</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Score generated for 100% of STH accounts; model AUC ≥ 0.75 on a held-out test set</w:t>
            </w:r>
          </w:p>
        </w:tc>
      </w:tr>
      <w:tr>
        <w:tc>
          <w:tcPr>
            <w:tcW w:type="dxa" w:w="975"/>
            <w:tcMar>
              <w:top w:type="dxa" w:w="70"/>
              <w:left w:type="dxa" w:w="90"/>
              <w:bottom w:type="dxa" w:w="70"/>
              <w:right w:type="dxa" w:w="90"/>
            </w:tcMar>
          </w:tcPr>
          <w:p>
            <w:r>
              <w:rPr>
                <w:b w:val="false"/>
                <w:bCs w:val="false"/>
                <w:color w:val="000000"/>
                <w:sz w:val="18"/>
                <w:szCs w:val="18"/>
              </w:rPr>
              <w:t xml:space="preserve">FR-04</w:t>
            </w:r>
          </w:p>
        </w:tc>
        <w:tc>
          <w:tcPr>
            <w:tcW w:type="dxa" w:w="3902"/>
            <w:tcMar>
              <w:top w:type="dxa" w:w="70"/>
              <w:left w:type="dxa" w:w="90"/>
              <w:bottom w:type="dxa" w:w="70"/>
              <w:right w:type="dxa" w:w="90"/>
            </w:tcMar>
          </w:tcPr>
          <w:p>
            <w:r>
              <w:rPr>
                <w:b w:val="false"/>
                <w:bCs w:val="false"/>
                <w:color w:val="000000"/>
                <w:sz w:val="18"/>
                <w:szCs w:val="18"/>
              </w:rPr>
              <w:t xml:space="preserve">Attach a human-readable reason code to every flagged at-risk account</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Every account above the risk threshold has ≥1 SHAP-derived reason code displayed in plain language</w:t>
            </w:r>
          </w:p>
        </w:tc>
      </w:tr>
      <w:tr>
        <w:tc>
          <w:tcPr>
            <w:tcW w:type="dxa" w:w="975"/>
            <w:tcMar>
              <w:top w:type="dxa" w:w="70"/>
              <w:left w:type="dxa" w:w="90"/>
              <w:bottom w:type="dxa" w:w="70"/>
              <w:right w:type="dxa" w:w="90"/>
            </w:tcMar>
          </w:tcPr>
          <w:p>
            <w:r>
              <w:rPr>
                <w:b w:val="false"/>
                <w:bCs w:val="false"/>
                <w:color w:val="000000"/>
                <w:sz w:val="18"/>
                <w:szCs w:val="18"/>
              </w:rPr>
              <w:t xml:space="preserve">FR-05</w:t>
            </w:r>
          </w:p>
        </w:tc>
        <w:tc>
          <w:tcPr>
            <w:tcW w:type="dxa" w:w="3902"/>
            <w:tcMar>
              <w:top w:type="dxa" w:w="70"/>
              <w:left w:type="dxa" w:w="90"/>
              <w:bottom w:type="dxa" w:w="70"/>
              <w:right w:type="dxa" w:w="90"/>
            </w:tcMar>
          </w:tcPr>
          <w:p>
            <w:r>
              <w:rPr>
                <w:b w:val="false"/>
                <w:bCs w:val="false"/>
                <w:color w:val="000000"/>
                <w:sz w:val="18"/>
                <w:szCs w:val="18"/>
              </w:rPr>
              <w:t xml:space="preserve">Quantify total at-risk revenue in dollars, reconciled against the Phase 1 baseline</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Dashboard total matches or improves on the $2.4M Phase 1 estimate, recalculated from live model output, not a static figure</w:t>
            </w:r>
          </w:p>
        </w:tc>
      </w:tr>
      <w:tr>
        <w:tc>
          <w:tcPr>
            <w:tcW w:type="dxa" w:w="975"/>
            <w:tcMar>
              <w:top w:type="dxa" w:w="70"/>
              <w:left w:type="dxa" w:w="90"/>
              <w:bottom w:type="dxa" w:w="70"/>
              <w:right w:type="dxa" w:w="90"/>
            </w:tcMar>
          </w:tcPr>
          <w:p>
            <w:r>
              <w:rPr>
                <w:b w:val="false"/>
                <w:bCs w:val="false"/>
                <w:color w:val="000000"/>
                <w:sz w:val="18"/>
                <w:szCs w:val="18"/>
              </w:rPr>
              <w:t xml:space="preserve">FR-06</w:t>
            </w:r>
          </w:p>
        </w:tc>
        <w:tc>
          <w:tcPr>
            <w:tcW w:type="dxa" w:w="3902"/>
            <w:tcMar>
              <w:top w:type="dxa" w:w="70"/>
              <w:left w:type="dxa" w:w="90"/>
              <w:bottom w:type="dxa" w:w="70"/>
              <w:right w:type="dxa" w:w="90"/>
            </w:tcMar>
          </w:tcPr>
          <w:p>
            <w:r>
              <w:rPr>
                <w:b w:val="false"/>
                <w:bCs w:val="false"/>
                <w:color w:val="000000"/>
                <w:sz w:val="18"/>
                <w:szCs w:val="18"/>
              </w:rPr>
              <w:t xml:space="preserve">Recommend a per-game, per-section price adjustment based on demand signals</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Pricing model outputs a recommended price delta for 100% of upcoming games in the synthetic season calendar</w:t>
            </w:r>
          </w:p>
        </w:tc>
      </w:tr>
      <w:tr>
        <w:tc>
          <w:tcPr>
            <w:tcW w:type="dxa" w:w="975"/>
            <w:tcMar>
              <w:top w:type="dxa" w:w="70"/>
              <w:left w:type="dxa" w:w="90"/>
              <w:bottom w:type="dxa" w:w="70"/>
              <w:right w:type="dxa" w:w="90"/>
            </w:tcMar>
          </w:tcPr>
          <w:p>
            <w:r>
              <w:rPr>
                <w:b w:val="false"/>
                <w:bCs w:val="false"/>
                <w:color w:val="000000"/>
                <w:sz w:val="18"/>
                <w:szCs w:val="18"/>
              </w:rPr>
              <w:t xml:space="preserve">FR-07</w:t>
            </w:r>
          </w:p>
        </w:tc>
        <w:tc>
          <w:tcPr>
            <w:tcW w:type="dxa" w:w="3902"/>
            <w:tcMar>
              <w:top w:type="dxa" w:w="70"/>
              <w:left w:type="dxa" w:w="90"/>
              <w:bottom w:type="dxa" w:w="70"/>
              <w:right w:type="dxa" w:w="90"/>
            </w:tcMar>
          </w:tcPr>
          <w:p>
            <w:r>
              <w:rPr>
                <w:b w:val="false"/>
                <w:bCs w:val="false"/>
                <w:color w:val="000000"/>
                <w:sz w:val="18"/>
                <w:szCs w:val="18"/>
              </w:rPr>
              <w:t xml:space="preserve">Backtest pricing recommendations against historical sell-through</w:t>
            </w:r>
          </w:p>
        </w:tc>
        <w:tc>
          <w:tcPr>
            <w:tcW w:type="dxa" w:w="975"/>
            <w:tcMar>
              <w:top w:type="dxa" w:w="70"/>
              <w:left w:type="dxa" w:w="90"/>
              <w:bottom w:type="dxa" w:w="70"/>
              <w:right w:type="dxa" w:w="90"/>
            </w:tcMar>
          </w:tcPr>
          <w:p>
            <w:r>
              <w:rPr>
                <w:b w:val="false"/>
                <w:bCs w:val="false"/>
                <w:color w:val="000000"/>
                <w:sz w:val="18"/>
                <w:szCs w:val="18"/>
              </w:rPr>
              <w:t xml:space="preserve">Should</w:t>
            </w:r>
          </w:p>
        </w:tc>
        <w:tc>
          <w:tcPr>
            <w:tcW w:type="dxa" w:w="4227"/>
            <w:tcMar>
              <w:top w:type="dxa" w:w="70"/>
              <w:left w:type="dxa" w:w="90"/>
              <w:bottom w:type="dxa" w:w="70"/>
              <w:right w:type="dxa" w:w="90"/>
            </w:tcMar>
          </w:tcPr>
          <w:p>
            <w:r>
              <w:rPr>
                <w:b w:val="false"/>
                <w:bCs w:val="false"/>
                <w:color w:val="000000"/>
                <w:sz w:val="18"/>
                <w:szCs w:val="18"/>
              </w:rPr>
              <w:t xml:space="preserve">Backtest report shows projected vs. actual revenue delta across at least one full synthetic season</w:t>
            </w:r>
          </w:p>
        </w:tc>
      </w:tr>
      <w:tr>
        <w:tc>
          <w:tcPr>
            <w:tcW w:type="dxa" w:w="975"/>
            <w:tcMar>
              <w:top w:type="dxa" w:w="70"/>
              <w:left w:type="dxa" w:w="90"/>
              <w:bottom w:type="dxa" w:w="70"/>
              <w:right w:type="dxa" w:w="90"/>
            </w:tcMar>
          </w:tcPr>
          <w:p>
            <w:r>
              <w:rPr>
                <w:b w:val="false"/>
                <w:bCs w:val="false"/>
                <w:color w:val="000000"/>
                <w:sz w:val="18"/>
                <w:szCs w:val="18"/>
              </w:rPr>
              <w:t xml:space="preserve">FR-08</w:t>
            </w:r>
          </w:p>
        </w:tc>
        <w:tc>
          <w:tcPr>
            <w:tcW w:type="dxa" w:w="3902"/>
            <w:tcMar>
              <w:top w:type="dxa" w:w="70"/>
              <w:left w:type="dxa" w:w="90"/>
              <w:bottom w:type="dxa" w:w="70"/>
              <w:right w:type="dxa" w:w="90"/>
            </w:tcMar>
          </w:tcPr>
          <w:p>
            <w:r>
              <w:rPr>
                <w:b w:val="false"/>
                <w:bCs w:val="false"/>
                <w:color w:val="000000"/>
                <w:sz w:val="18"/>
                <w:szCs w:val="18"/>
              </w:rPr>
              <w:t xml:space="preserve">Forecast concession demand by stand and by gameday</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Forecast produced for every gameday; MAPE ≤ 20% on held-out games</w:t>
            </w:r>
          </w:p>
        </w:tc>
      </w:tr>
      <w:tr>
        <w:tc>
          <w:tcPr>
            <w:tcW w:type="dxa" w:w="975"/>
            <w:tcMar>
              <w:top w:type="dxa" w:w="70"/>
              <w:left w:type="dxa" w:w="90"/>
              <w:bottom w:type="dxa" w:w="70"/>
              <w:right w:type="dxa" w:w="90"/>
            </w:tcMar>
          </w:tcPr>
          <w:p>
            <w:r>
              <w:rPr>
                <w:b w:val="false"/>
                <w:bCs w:val="false"/>
                <w:color w:val="000000"/>
                <w:sz w:val="18"/>
                <w:szCs w:val="18"/>
              </w:rPr>
              <w:t xml:space="preserve">FR-09</w:t>
            </w:r>
          </w:p>
        </w:tc>
        <w:tc>
          <w:tcPr>
            <w:tcW w:type="dxa" w:w="3902"/>
            <w:tcMar>
              <w:top w:type="dxa" w:w="70"/>
              <w:left w:type="dxa" w:w="90"/>
              <w:bottom w:type="dxa" w:w="70"/>
              <w:right w:type="dxa" w:w="90"/>
            </w:tcMar>
          </w:tcPr>
          <w:p>
            <w:r>
              <w:rPr>
                <w:b w:val="false"/>
                <w:bCs w:val="false"/>
                <w:color w:val="000000"/>
                <w:sz w:val="18"/>
                <w:szCs w:val="18"/>
              </w:rPr>
              <w:t xml:space="preserve">Score fan segments for sponsor-audience fit</w:t>
            </w:r>
          </w:p>
        </w:tc>
        <w:tc>
          <w:tcPr>
            <w:tcW w:type="dxa" w:w="975"/>
            <w:tcMar>
              <w:top w:type="dxa" w:w="70"/>
              <w:left w:type="dxa" w:w="90"/>
              <w:bottom w:type="dxa" w:w="70"/>
              <w:right w:type="dxa" w:w="90"/>
            </w:tcMar>
          </w:tcPr>
          <w:p>
            <w:r>
              <w:rPr>
                <w:b w:val="false"/>
                <w:bCs w:val="false"/>
                <w:color w:val="000000"/>
                <w:sz w:val="18"/>
                <w:szCs w:val="18"/>
              </w:rPr>
              <w:t xml:space="preserve">Should</w:t>
            </w:r>
          </w:p>
        </w:tc>
        <w:tc>
          <w:tcPr>
            <w:tcW w:type="dxa" w:w="4227"/>
            <w:tcMar>
              <w:top w:type="dxa" w:w="70"/>
              <w:left w:type="dxa" w:w="90"/>
              <w:bottom w:type="dxa" w:w="70"/>
              <w:right w:type="dxa" w:w="90"/>
            </w:tcMar>
          </w:tcPr>
          <w:p>
            <w:r>
              <w:rPr>
                <w:b w:val="false"/>
                <w:bCs w:val="false"/>
                <w:color w:val="000000"/>
                <w:sz w:val="18"/>
                <w:szCs w:val="18"/>
              </w:rPr>
              <w:t xml:space="preserve">Every defined fan segment has a sponsor-fit score, exportable to a sponsorship-deck-ready table</w:t>
            </w:r>
          </w:p>
        </w:tc>
      </w:tr>
      <w:tr>
        <w:tc>
          <w:tcPr>
            <w:tcW w:type="dxa" w:w="975"/>
            <w:tcMar>
              <w:top w:type="dxa" w:w="70"/>
              <w:left w:type="dxa" w:w="90"/>
              <w:bottom w:type="dxa" w:w="70"/>
              <w:right w:type="dxa" w:w="90"/>
            </w:tcMar>
          </w:tcPr>
          <w:p>
            <w:r>
              <w:rPr>
                <w:b w:val="false"/>
                <w:bCs w:val="false"/>
                <w:color w:val="000000"/>
                <w:sz w:val="18"/>
                <w:szCs w:val="18"/>
              </w:rPr>
              <w:t xml:space="preserve">FR-10</w:t>
            </w:r>
          </w:p>
        </w:tc>
        <w:tc>
          <w:tcPr>
            <w:tcW w:type="dxa" w:w="3902"/>
            <w:tcMar>
              <w:top w:type="dxa" w:w="70"/>
              <w:left w:type="dxa" w:w="90"/>
              <w:bottom w:type="dxa" w:w="70"/>
              <w:right w:type="dxa" w:w="90"/>
            </w:tcMar>
          </w:tcPr>
          <w:p>
            <w:r>
              <w:rPr>
                <w:b w:val="false"/>
                <w:bCs w:val="false"/>
                <w:color w:val="000000"/>
                <w:sz w:val="18"/>
                <w:szCs w:val="18"/>
              </w:rPr>
              <w:t xml:space="preserve">CEO dashboard shows real-time KPIs: attendance, revenue, at-risk $, NPS</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Dashboard reflects Gold layer data within 15 minutes of pipeline run; loads in under 5 seconds</w:t>
            </w:r>
          </w:p>
        </w:tc>
      </w:tr>
      <w:tr>
        <w:tc>
          <w:tcPr>
            <w:tcW w:type="dxa" w:w="975"/>
            <w:tcMar>
              <w:top w:type="dxa" w:w="70"/>
              <w:left w:type="dxa" w:w="90"/>
              <w:bottom w:type="dxa" w:w="70"/>
              <w:right w:type="dxa" w:w="90"/>
            </w:tcMar>
          </w:tcPr>
          <w:p>
            <w:r>
              <w:rPr>
                <w:b w:val="false"/>
                <w:bCs w:val="false"/>
                <w:color w:val="000000"/>
                <w:sz w:val="18"/>
                <w:szCs w:val="18"/>
              </w:rPr>
              <w:t xml:space="preserve">FR-11</w:t>
            </w:r>
          </w:p>
        </w:tc>
        <w:tc>
          <w:tcPr>
            <w:tcW w:type="dxa" w:w="3902"/>
            <w:tcMar>
              <w:top w:type="dxa" w:w="70"/>
              <w:left w:type="dxa" w:w="90"/>
              <w:bottom w:type="dxa" w:w="70"/>
              <w:right w:type="dxa" w:w="90"/>
            </w:tcMar>
          </w:tcPr>
          <w:p>
            <w:r>
              <w:rPr>
                <w:b w:val="false"/>
                <w:bCs w:val="false"/>
                <w:color w:val="000000"/>
                <w:sz w:val="18"/>
                <w:szCs w:val="18"/>
              </w:rPr>
              <w:t xml:space="preserve">Ticket Sales dashboard lists a prioritized outreach queue (at-risk $ × churn probability)</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List order matches churn model output exactly; refreshes daily</w:t>
            </w:r>
          </w:p>
        </w:tc>
      </w:tr>
      <w:tr>
        <w:tc>
          <w:tcPr>
            <w:tcW w:type="dxa" w:w="975"/>
            <w:tcMar>
              <w:top w:type="dxa" w:w="70"/>
              <w:left w:type="dxa" w:w="90"/>
              <w:bottom w:type="dxa" w:w="70"/>
              <w:right w:type="dxa" w:w="90"/>
            </w:tcMar>
          </w:tcPr>
          <w:p>
            <w:r>
              <w:rPr>
                <w:b w:val="false"/>
                <w:bCs w:val="false"/>
                <w:color w:val="000000"/>
                <w:sz w:val="18"/>
                <w:szCs w:val="18"/>
              </w:rPr>
              <w:t xml:space="preserve">FR-12</w:t>
            </w:r>
          </w:p>
        </w:tc>
        <w:tc>
          <w:tcPr>
            <w:tcW w:type="dxa" w:w="3902"/>
            <w:tcMar>
              <w:top w:type="dxa" w:w="70"/>
              <w:left w:type="dxa" w:w="90"/>
              <w:bottom w:type="dxa" w:w="70"/>
              <w:right w:type="dxa" w:w="90"/>
            </w:tcMar>
          </w:tcPr>
          <w:p>
            <w:r>
              <w:rPr>
                <w:b w:val="false"/>
                <w:bCs w:val="false"/>
                <w:color w:val="000000"/>
                <w:sz w:val="18"/>
                <w:szCs w:val="18"/>
              </w:rPr>
              <w:t xml:space="preserve">Pricing dashboard shows recommended vs. current price by game and section</w:t>
            </w:r>
          </w:p>
        </w:tc>
        <w:tc>
          <w:tcPr>
            <w:tcW w:type="dxa" w:w="975"/>
            <w:tcMar>
              <w:top w:type="dxa" w:w="70"/>
              <w:left w:type="dxa" w:w="90"/>
              <w:bottom w:type="dxa" w:w="70"/>
              <w:right w:type="dxa" w:w="90"/>
            </w:tcMar>
          </w:tcPr>
          <w:p>
            <w:r>
              <w:rPr>
                <w:b w:val="false"/>
                <w:bCs w:val="false"/>
                <w:color w:val="000000"/>
                <w:sz w:val="18"/>
                <w:szCs w:val="18"/>
              </w:rPr>
              <w:t xml:space="preserve">Should</w:t>
            </w:r>
          </w:p>
        </w:tc>
        <w:tc>
          <w:tcPr>
            <w:tcW w:type="dxa" w:w="4227"/>
            <w:tcMar>
              <w:top w:type="dxa" w:w="70"/>
              <w:left w:type="dxa" w:w="90"/>
              <w:bottom w:type="dxa" w:w="70"/>
              <w:right w:type="dxa" w:w="90"/>
            </w:tcMar>
          </w:tcPr>
          <w:p>
            <w:r>
              <w:rPr>
                <w:b w:val="false"/>
                <w:bCs w:val="false"/>
                <w:color w:val="000000"/>
                <w:sz w:val="18"/>
                <w:szCs w:val="18"/>
              </w:rPr>
              <w:t xml:space="preserve">Matches pricing model's daily output with no manual reconciliation</w:t>
            </w:r>
          </w:p>
        </w:tc>
      </w:tr>
      <w:tr>
        <w:tc>
          <w:tcPr>
            <w:tcW w:type="dxa" w:w="975"/>
            <w:tcMar>
              <w:top w:type="dxa" w:w="70"/>
              <w:left w:type="dxa" w:w="90"/>
              <w:bottom w:type="dxa" w:w="70"/>
              <w:right w:type="dxa" w:w="90"/>
            </w:tcMar>
          </w:tcPr>
          <w:p>
            <w:r>
              <w:rPr>
                <w:b w:val="false"/>
                <w:bCs w:val="false"/>
                <w:color w:val="000000"/>
                <w:sz w:val="18"/>
                <w:szCs w:val="18"/>
              </w:rPr>
              <w:t xml:space="preserve">FR-13</w:t>
            </w:r>
          </w:p>
        </w:tc>
        <w:tc>
          <w:tcPr>
            <w:tcW w:type="dxa" w:w="3902"/>
            <w:tcMar>
              <w:top w:type="dxa" w:w="70"/>
              <w:left w:type="dxa" w:w="90"/>
              <w:bottom w:type="dxa" w:w="70"/>
              <w:right w:type="dxa" w:w="90"/>
            </w:tcMar>
          </w:tcPr>
          <w:p>
            <w:r>
              <w:rPr>
                <w:b w:val="false"/>
                <w:bCs w:val="false"/>
                <w:color w:val="000000"/>
                <w:sz w:val="18"/>
                <w:szCs w:val="18"/>
              </w:rPr>
              <w:t xml:space="preserve">Sponsorship dashboard shows current-season audience numbers, not a stale PDF</w:t>
            </w:r>
          </w:p>
        </w:tc>
        <w:tc>
          <w:tcPr>
            <w:tcW w:type="dxa" w:w="975"/>
            <w:tcMar>
              <w:top w:type="dxa" w:w="70"/>
              <w:left w:type="dxa" w:w="90"/>
              <w:bottom w:type="dxa" w:w="70"/>
              <w:right w:type="dxa" w:w="90"/>
            </w:tcMar>
          </w:tcPr>
          <w:p>
            <w:r>
              <w:rPr>
                <w:b w:val="false"/>
                <w:bCs w:val="false"/>
                <w:color w:val="000000"/>
                <w:sz w:val="18"/>
                <w:szCs w:val="18"/>
              </w:rPr>
              <w:t xml:space="preserve">Must</w:t>
            </w:r>
          </w:p>
        </w:tc>
        <w:tc>
          <w:tcPr>
            <w:tcW w:type="dxa" w:w="4227"/>
            <w:tcMar>
              <w:top w:type="dxa" w:w="70"/>
              <w:left w:type="dxa" w:w="90"/>
              <w:bottom w:type="dxa" w:w="70"/>
              <w:right w:type="dxa" w:w="90"/>
            </w:tcMar>
          </w:tcPr>
          <w:p>
            <w:r>
              <w:rPr>
                <w:b w:val="false"/>
                <w:bCs w:val="false"/>
                <w:color w:val="000000"/>
                <w:sz w:val="18"/>
                <w:szCs w:val="18"/>
              </w:rPr>
              <w:t xml:space="preserve">Numbers pull live from the Gold layer and display a "last refreshed" timestamp</w:t>
            </w:r>
          </w:p>
        </w:tc>
      </w:tr>
      <w:tr>
        <w:tc>
          <w:tcPr>
            <w:tcW w:type="dxa" w:w="975"/>
            <w:tcMar>
              <w:top w:type="dxa" w:w="70"/>
              <w:left w:type="dxa" w:w="90"/>
              <w:bottom w:type="dxa" w:w="70"/>
              <w:right w:type="dxa" w:w="90"/>
            </w:tcMar>
          </w:tcPr>
          <w:p>
            <w:r>
              <w:rPr>
                <w:b w:val="false"/>
                <w:bCs w:val="false"/>
                <w:color w:val="000000"/>
                <w:sz w:val="18"/>
                <w:szCs w:val="18"/>
              </w:rPr>
              <w:t xml:space="preserve">FR-14</w:t>
            </w:r>
          </w:p>
        </w:tc>
        <w:tc>
          <w:tcPr>
            <w:tcW w:type="dxa" w:w="3902"/>
            <w:tcMar>
              <w:top w:type="dxa" w:w="70"/>
              <w:left w:type="dxa" w:w="90"/>
              <w:bottom w:type="dxa" w:w="70"/>
              <w:right w:type="dxa" w:w="90"/>
            </w:tcMar>
          </w:tcPr>
          <w:p>
            <w:r>
              <w:rPr>
                <w:b w:val="false"/>
                <w:bCs w:val="false"/>
                <w:color w:val="000000"/>
                <w:sz w:val="18"/>
                <w:szCs w:val="18"/>
              </w:rPr>
              <w:t xml:space="preserve">Stream concession POS and gate-scan events in near-real time on matchdays</w:t>
            </w:r>
          </w:p>
        </w:tc>
        <w:tc>
          <w:tcPr>
            <w:tcW w:type="dxa" w:w="975"/>
            <w:tcMar>
              <w:top w:type="dxa" w:w="70"/>
              <w:left w:type="dxa" w:w="90"/>
              <w:bottom w:type="dxa" w:w="70"/>
              <w:right w:type="dxa" w:w="90"/>
            </w:tcMar>
          </w:tcPr>
          <w:p>
            <w:r>
              <w:rPr>
                <w:b w:val="false"/>
                <w:bCs w:val="false"/>
                <w:color w:val="000000"/>
                <w:sz w:val="18"/>
                <w:szCs w:val="18"/>
              </w:rPr>
              <w:t xml:space="preserve">Should</w:t>
            </w:r>
          </w:p>
        </w:tc>
        <w:tc>
          <w:tcPr>
            <w:tcW w:type="dxa" w:w="4227"/>
            <w:tcMar>
              <w:top w:type="dxa" w:w="70"/>
              <w:left w:type="dxa" w:w="90"/>
              <w:bottom w:type="dxa" w:w="70"/>
              <w:right w:type="dxa" w:w="90"/>
            </w:tcMar>
          </w:tcPr>
          <w:p>
            <w:r>
              <w:rPr>
                <w:b w:val="false"/>
                <w:bCs w:val="false"/>
                <w:color w:val="000000"/>
                <w:sz w:val="18"/>
                <w:szCs w:val="18"/>
              </w:rPr>
              <w:t xml:space="preserve">Kafka topic receives simulated events; Streamlit app updates within 30 seconds of event</w:t>
            </w:r>
          </w:p>
        </w:tc>
      </w:tr>
      <w:tr>
        <w:tc>
          <w:tcPr>
            <w:tcW w:type="dxa" w:w="975"/>
            <w:tcMar>
              <w:top w:type="dxa" w:w="70"/>
              <w:left w:type="dxa" w:w="90"/>
              <w:bottom w:type="dxa" w:w="70"/>
              <w:right w:type="dxa" w:w="90"/>
            </w:tcMar>
          </w:tcPr>
          <w:p>
            <w:r>
              <w:rPr>
                <w:b w:val="false"/>
                <w:bCs w:val="false"/>
                <w:color w:val="000000"/>
                <w:sz w:val="18"/>
                <w:szCs w:val="18"/>
              </w:rPr>
              <w:t xml:space="preserve">FR-15</w:t>
            </w:r>
          </w:p>
        </w:tc>
        <w:tc>
          <w:tcPr>
            <w:tcW w:type="dxa" w:w="3902"/>
            <w:tcMar>
              <w:top w:type="dxa" w:w="70"/>
              <w:left w:type="dxa" w:w="90"/>
              <w:bottom w:type="dxa" w:w="70"/>
              <w:right w:type="dxa" w:w="90"/>
            </w:tcMar>
          </w:tcPr>
          <w:p>
            <w:r>
              <w:rPr>
                <w:b w:val="false"/>
                <w:bCs w:val="false"/>
                <w:color w:val="000000"/>
                <w:sz w:val="18"/>
                <w:szCs w:val="18"/>
              </w:rPr>
              <w:t xml:space="preserve">Surface line-length / wait-time alerts by concession stand during games</w:t>
            </w:r>
          </w:p>
        </w:tc>
        <w:tc>
          <w:tcPr>
            <w:tcW w:type="dxa" w:w="975"/>
            <w:tcMar>
              <w:top w:type="dxa" w:w="70"/>
              <w:left w:type="dxa" w:w="90"/>
              <w:bottom w:type="dxa" w:w="70"/>
              <w:right w:type="dxa" w:w="90"/>
            </w:tcMar>
          </w:tcPr>
          <w:p>
            <w:r>
              <w:rPr>
                <w:b w:val="false"/>
                <w:bCs w:val="false"/>
                <w:color w:val="000000"/>
                <w:sz w:val="18"/>
                <w:szCs w:val="18"/>
              </w:rPr>
              <w:t xml:space="preserve">Should</w:t>
            </w:r>
          </w:p>
        </w:tc>
        <w:tc>
          <w:tcPr>
            <w:tcW w:type="dxa" w:w="4227"/>
            <w:tcMar>
              <w:top w:type="dxa" w:w="70"/>
              <w:left w:type="dxa" w:w="90"/>
              <w:bottom w:type="dxa" w:w="70"/>
              <w:right w:type="dxa" w:w="90"/>
            </w:tcMar>
          </w:tcPr>
          <w:p>
            <w:r>
              <w:rPr>
                <w:b w:val="false"/>
                <w:bCs w:val="false"/>
                <w:color w:val="000000"/>
                <w:sz w:val="18"/>
                <w:szCs w:val="18"/>
              </w:rPr>
              <w:t xml:space="preserve">Alert fires when simulated queue exceeds threshold; visible in-app within 30 seconds</w:t>
            </w:r>
          </w:p>
        </w:tc>
      </w:tr>
      <w:tr>
        <w:tc>
          <w:tcPr>
            <w:tcW w:type="dxa" w:w="975"/>
            <w:tcMar>
              <w:top w:type="dxa" w:w="70"/>
              <w:left w:type="dxa" w:w="90"/>
              <w:bottom w:type="dxa" w:w="70"/>
              <w:right w:type="dxa" w:w="90"/>
            </w:tcMar>
          </w:tcPr>
          <w:p>
            <w:r>
              <w:rPr>
                <w:b w:val="false"/>
                <w:bCs w:val="false"/>
                <w:color w:val="000000"/>
                <w:sz w:val="18"/>
                <w:szCs w:val="18"/>
              </w:rPr>
              <w:t xml:space="preserve">FR-16</w:t>
            </w:r>
          </w:p>
        </w:tc>
        <w:tc>
          <w:tcPr>
            <w:tcW w:type="dxa" w:w="3902"/>
            <w:tcMar>
              <w:top w:type="dxa" w:w="70"/>
              <w:left w:type="dxa" w:w="90"/>
              <w:bottom w:type="dxa" w:w="70"/>
              <w:right w:type="dxa" w:w="90"/>
            </w:tcMar>
          </w:tcPr>
          <w:p>
            <w:r>
              <w:rPr>
                <w:b w:val="false"/>
                <w:bCs w:val="false"/>
                <w:color w:val="000000"/>
                <w:sz w:val="18"/>
                <w:szCs w:val="18"/>
              </w:rPr>
              <w:t xml:space="preserve">Allow stakeholders to ask natural-language questions about fan data via an AI co-pilot</w:t>
            </w:r>
          </w:p>
        </w:tc>
        <w:tc>
          <w:tcPr>
            <w:tcW w:type="dxa" w:w="975"/>
            <w:tcMar>
              <w:top w:type="dxa" w:w="70"/>
              <w:left w:type="dxa" w:w="90"/>
              <w:bottom w:type="dxa" w:w="70"/>
              <w:right w:type="dxa" w:w="90"/>
            </w:tcMar>
          </w:tcPr>
          <w:p>
            <w:r>
              <w:rPr>
                <w:b w:val="false"/>
                <w:bCs w:val="false"/>
                <w:color w:val="000000"/>
                <w:sz w:val="18"/>
                <w:szCs w:val="18"/>
              </w:rPr>
              <w:t xml:space="preserve">Could</w:t>
            </w:r>
          </w:p>
        </w:tc>
        <w:tc>
          <w:tcPr>
            <w:tcW w:type="dxa" w:w="4227"/>
            <w:tcMar>
              <w:top w:type="dxa" w:w="70"/>
              <w:left w:type="dxa" w:w="90"/>
              <w:bottom w:type="dxa" w:w="70"/>
              <w:right w:type="dxa" w:w="90"/>
            </w:tcMar>
          </w:tcPr>
          <w:p>
            <w:r>
              <w:rPr>
                <w:b w:val="false"/>
                <w:bCs w:val="false"/>
                <w:color w:val="000000"/>
                <w:sz w:val="18"/>
                <w:szCs w:val="18"/>
              </w:rPr>
              <w:t xml:space="preserve">Claude API answers correctly on ≥90% of a defined 10–15 question test set, grounded in Gold-layer data</w:t>
            </w:r>
          </w:p>
        </w:tc>
      </w:tr>
    </w:tbl>
    <w:p>
      <w:r>
        <w:br w:type="page"/>
      </w:r>
    </w:p>
    <w:p>
      <w:pPr>
        <w:pStyle w:val="Heading1"/>
        <w:spacing w:after="120" w:before="240"/>
      </w:pPr>
      <w:r>
        <w:rPr>
          <w:b/>
          <w:bCs/>
          <w:color w:val="1a1a2e"/>
        </w:rP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67"/>
        <w:gridCol w:w="2609"/>
        <w:gridCol w:w="6404"/>
      </w:tblGrid>
      <w:tr>
        <w:trPr>
          <w:tblHeader/>
        </w:trPr>
        <w:tc>
          <w:tcPr>
            <w:tcW w:type="dxa" w:w="1067"/>
            <w:shd w:fill="1a1a2e" w:val="clear"/>
            <w:tcMar>
              <w:top w:type="dxa" w:w="70"/>
              <w:left w:type="dxa" w:w="90"/>
              <w:bottom w:type="dxa" w:w="70"/>
              <w:right w:type="dxa" w:w="90"/>
            </w:tcMar>
          </w:tcPr>
          <w:p>
            <w:r>
              <w:rPr>
                <w:b/>
                <w:bCs/>
                <w:color w:val="FFFFFF"/>
                <w:sz w:val="19"/>
                <w:szCs w:val="19"/>
              </w:rPr>
              <w:t xml:space="preserve">ID</w:t>
            </w:r>
          </w:p>
        </w:tc>
        <w:tc>
          <w:tcPr>
            <w:tcW w:type="dxa" w:w="2609"/>
            <w:shd w:fill="1a1a2e" w:val="clear"/>
            <w:tcMar>
              <w:top w:type="dxa" w:w="70"/>
              <w:left w:type="dxa" w:w="90"/>
              <w:bottom w:type="dxa" w:w="70"/>
              <w:right w:type="dxa" w:w="90"/>
            </w:tcMar>
          </w:tcPr>
          <w:p>
            <w:r>
              <w:rPr>
                <w:b/>
                <w:bCs/>
                <w:color w:val="FFFFFF"/>
                <w:sz w:val="19"/>
                <w:szCs w:val="19"/>
              </w:rPr>
              <w:t xml:space="preserve">Category</w:t>
            </w:r>
          </w:p>
        </w:tc>
        <w:tc>
          <w:tcPr>
            <w:tcW w:type="dxa" w:w="6404"/>
            <w:shd w:fill="1a1a2e" w:val="clear"/>
            <w:tcMar>
              <w:top w:type="dxa" w:w="70"/>
              <w:left w:type="dxa" w:w="90"/>
              <w:bottom w:type="dxa" w:w="70"/>
              <w:right w:type="dxa" w:w="90"/>
            </w:tcMar>
          </w:tcPr>
          <w:p>
            <w:r>
              <w:rPr>
                <w:b/>
                <w:bCs/>
                <w:color w:val="FFFFFF"/>
                <w:sz w:val="19"/>
                <w:szCs w:val="19"/>
              </w:rPr>
              <w:t xml:space="preserve">Requirement</w:t>
            </w:r>
          </w:p>
        </w:tc>
      </w:tr>
      <w:tr>
        <w:tc>
          <w:tcPr>
            <w:tcW w:type="dxa" w:w="1067"/>
            <w:tcMar>
              <w:top w:type="dxa" w:w="70"/>
              <w:left w:type="dxa" w:w="90"/>
              <w:bottom w:type="dxa" w:w="70"/>
              <w:right w:type="dxa" w:w="90"/>
            </w:tcMar>
          </w:tcPr>
          <w:p>
            <w:r>
              <w:rPr>
                <w:b w:val="false"/>
                <w:bCs w:val="false"/>
                <w:color w:val="000000"/>
                <w:sz w:val="19"/>
                <w:szCs w:val="19"/>
              </w:rPr>
              <w:t xml:space="preserve">NFR-01</w:t>
            </w:r>
          </w:p>
        </w:tc>
        <w:tc>
          <w:tcPr>
            <w:tcW w:type="dxa" w:w="2609"/>
            <w:tcMar>
              <w:top w:type="dxa" w:w="70"/>
              <w:left w:type="dxa" w:w="90"/>
              <w:bottom w:type="dxa" w:w="70"/>
              <w:right w:type="dxa" w:w="90"/>
            </w:tcMar>
          </w:tcPr>
          <w:p>
            <w:r>
              <w:rPr>
                <w:b w:val="false"/>
                <w:bCs w:val="false"/>
                <w:color w:val="000000"/>
                <w:sz w:val="19"/>
                <w:szCs w:val="19"/>
              </w:rPr>
              <w:t xml:space="preserve">Performance</w:t>
            </w:r>
          </w:p>
        </w:tc>
        <w:tc>
          <w:tcPr>
            <w:tcW w:type="dxa" w:w="6404"/>
            <w:tcMar>
              <w:top w:type="dxa" w:w="70"/>
              <w:left w:type="dxa" w:w="90"/>
              <w:bottom w:type="dxa" w:w="70"/>
              <w:right w:type="dxa" w:w="90"/>
            </w:tcMar>
          </w:tcPr>
          <w:p>
            <w:r>
              <w:rPr>
                <w:b w:val="false"/>
                <w:bCs w:val="false"/>
                <w:color w:val="000000"/>
                <w:sz w:val="19"/>
                <w:szCs w:val="19"/>
              </w:rPr>
              <w:t xml:space="preserve">Full Bronze→Gold pipeline run completes in under 15 minutes on the synthetic dataset</w:t>
            </w:r>
          </w:p>
        </w:tc>
      </w:tr>
      <w:tr>
        <w:tc>
          <w:tcPr>
            <w:tcW w:type="dxa" w:w="1067"/>
            <w:tcMar>
              <w:top w:type="dxa" w:w="70"/>
              <w:left w:type="dxa" w:w="90"/>
              <w:bottom w:type="dxa" w:w="70"/>
              <w:right w:type="dxa" w:w="90"/>
            </w:tcMar>
          </w:tcPr>
          <w:p>
            <w:r>
              <w:rPr>
                <w:b w:val="false"/>
                <w:bCs w:val="false"/>
                <w:color w:val="000000"/>
                <w:sz w:val="19"/>
                <w:szCs w:val="19"/>
              </w:rPr>
              <w:t xml:space="preserve">NFR-02</w:t>
            </w:r>
          </w:p>
        </w:tc>
        <w:tc>
          <w:tcPr>
            <w:tcW w:type="dxa" w:w="2609"/>
            <w:tcMar>
              <w:top w:type="dxa" w:w="70"/>
              <w:left w:type="dxa" w:w="90"/>
              <w:bottom w:type="dxa" w:w="70"/>
              <w:right w:type="dxa" w:w="90"/>
            </w:tcMar>
          </w:tcPr>
          <w:p>
            <w:r>
              <w:rPr>
                <w:b w:val="false"/>
                <w:bCs w:val="false"/>
                <w:color w:val="000000"/>
                <w:sz w:val="19"/>
                <w:szCs w:val="19"/>
              </w:rPr>
              <w:t xml:space="preserve">Data Quality</w:t>
            </w:r>
          </w:p>
        </w:tc>
        <w:tc>
          <w:tcPr>
            <w:tcW w:type="dxa" w:w="6404"/>
            <w:tcMar>
              <w:top w:type="dxa" w:w="70"/>
              <w:left w:type="dxa" w:w="90"/>
              <w:bottom w:type="dxa" w:w="70"/>
              <w:right w:type="dxa" w:w="90"/>
            </w:tcMar>
          </w:tcPr>
          <w:p>
            <w:r>
              <w:rPr>
                <w:b w:val="false"/>
                <w:bCs w:val="false"/>
                <w:color w:val="000000"/>
                <w:sz w:val="19"/>
                <w:szCs w:val="19"/>
              </w:rPr>
              <w:t xml:space="preserve">≥98% referential integrity across fan_id joins in the Gold layer, enforced via dbt tests</w:t>
            </w:r>
          </w:p>
        </w:tc>
      </w:tr>
      <w:tr>
        <w:tc>
          <w:tcPr>
            <w:tcW w:type="dxa" w:w="1067"/>
            <w:tcMar>
              <w:top w:type="dxa" w:w="70"/>
              <w:left w:type="dxa" w:w="90"/>
              <w:bottom w:type="dxa" w:w="70"/>
              <w:right w:type="dxa" w:w="90"/>
            </w:tcMar>
          </w:tcPr>
          <w:p>
            <w:r>
              <w:rPr>
                <w:b w:val="false"/>
                <w:bCs w:val="false"/>
                <w:color w:val="000000"/>
                <w:sz w:val="19"/>
                <w:szCs w:val="19"/>
              </w:rPr>
              <w:t xml:space="preserve">NFR-03</w:t>
            </w:r>
          </w:p>
        </w:tc>
        <w:tc>
          <w:tcPr>
            <w:tcW w:type="dxa" w:w="2609"/>
            <w:tcMar>
              <w:top w:type="dxa" w:w="70"/>
              <w:left w:type="dxa" w:w="90"/>
              <w:bottom w:type="dxa" w:w="70"/>
              <w:right w:type="dxa" w:w="90"/>
            </w:tcMar>
          </w:tcPr>
          <w:p>
            <w:r>
              <w:rPr>
                <w:b w:val="false"/>
                <w:bCs w:val="false"/>
                <w:color w:val="000000"/>
                <w:sz w:val="19"/>
                <w:szCs w:val="19"/>
              </w:rPr>
              <w:t xml:space="preserve">Availability</w:t>
            </w:r>
          </w:p>
        </w:tc>
        <w:tc>
          <w:tcPr>
            <w:tcW w:type="dxa" w:w="6404"/>
            <w:tcMar>
              <w:top w:type="dxa" w:w="70"/>
              <w:left w:type="dxa" w:w="90"/>
              <w:bottom w:type="dxa" w:w="70"/>
              <w:right w:type="dxa" w:w="90"/>
            </w:tcMar>
          </w:tcPr>
          <w:p>
            <w:r>
              <w:rPr>
                <w:b w:val="false"/>
                <w:bCs w:val="false"/>
                <w:color w:val="000000"/>
                <w:sz w:val="19"/>
                <w:szCs w:val="19"/>
              </w:rPr>
              <w:t xml:space="preserve">Streamlit apps and Power BI dashboards available on demand locally; no formal uptime SLA required at portfolio stage</w:t>
            </w:r>
          </w:p>
        </w:tc>
      </w:tr>
      <w:tr>
        <w:tc>
          <w:tcPr>
            <w:tcW w:type="dxa" w:w="1067"/>
            <w:tcMar>
              <w:top w:type="dxa" w:w="70"/>
              <w:left w:type="dxa" w:w="90"/>
              <w:bottom w:type="dxa" w:w="70"/>
              <w:right w:type="dxa" w:w="90"/>
            </w:tcMar>
          </w:tcPr>
          <w:p>
            <w:r>
              <w:rPr>
                <w:b w:val="false"/>
                <w:bCs w:val="false"/>
                <w:color w:val="000000"/>
                <w:sz w:val="19"/>
                <w:szCs w:val="19"/>
              </w:rPr>
              <w:t xml:space="preserve">NFR-04</w:t>
            </w:r>
          </w:p>
        </w:tc>
        <w:tc>
          <w:tcPr>
            <w:tcW w:type="dxa" w:w="2609"/>
            <w:tcMar>
              <w:top w:type="dxa" w:w="70"/>
              <w:left w:type="dxa" w:w="90"/>
              <w:bottom w:type="dxa" w:w="70"/>
              <w:right w:type="dxa" w:w="90"/>
            </w:tcMar>
          </w:tcPr>
          <w:p>
            <w:r>
              <w:rPr>
                <w:b w:val="false"/>
                <w:bCs w:val="false"/>
                <w:color w:val="000000"/>
                <w:sz w:val="19"/>
                <w:szCs w:val="19"/>
              </w:rPr>
              <w:t xml:space="preserve">Security / Privacy</w:t>
            </w:r>
          </w:p>
        </w:tc>
        <w:tc>
          <w:tcPr>
            <w:tcW w:type="dxa" w:w="6404"/>
            <w:tcMar>
              <w:top w:type="dxa" w:w="70"/>
              <w:left w:type="dxa" w:w="90"/>
              <w:bottom w:type="dxa" w:w="70"/>
              <w:right w:type="dxa" w:w="90"/>
            </w:tcMar>
          </w:tcPr>
          <w:p>
            <w:r>
              <w:rPr>
                <w:b w:val="false"/>
                <w:bCs w:val="false"/>
                <w:color w:val="000000"/>
                <w:sz w:val="19"/>
                <w:szCs w:val="19"/>
              </w:rPr>
              <w:t xml:space="preserve">No real PII used anywhere in the project; all data synthetic. Claude API key stored as an environment variable, never hardcoded or committed to version control</w:t>
            </w:r>
          </w:p>
        </w:tc>
      </w:tr>
      <w:tr>
        <w:tc>
          <w:tcPr>
            <w:tcW w:type="dxa" w:w="1067"/>
            <w:tcMar>
              <w:top w:type="dxa" w:w="70"/>
              <w:left w:type="dxa" w:w="90"/>
              <w:bottom w:type="dxa" w:w="70"/>
              <w:right w:type="dxa" w:w="90"/>
            </w:tcMar>
          </w:tcPr>
          <w:p>
            <w:r>
              <w:rPr>
                <w:b w:val="false"/>
                <w:bCs w:val="false"/>
                <w:color w:val="000000"/>
                <w:sz w:val="19"/>
                <w:szCs w:val="19"/>
              </w:rPr>
              <w:t xml:space="preserve">NFR-05</w:t>
            </w:r>
          </w:p>
        </w:tc>
        <w:tc>
          <w:tcPr>
            <w:tcW w:type="dxa" w:w="2609"/>
            <w:tcMar>
              <w:top w:type="dxa" w:w="70"/>
              <w:left w:type="dxa" w:w="90"/>
              <w:bottom w:type="dxa" w:w="70"/>
              <w:right w:type="dxa" w:w="90"/>
            </w:tcMar>
          </w:tcPr>
          <w:p>
            <w:r>
              <w:rPr>
                <w:b w:val="false"/>
                <w:bCs w:val="false"/>
                <w:color w:val="000000"/>
                <w:sz w:val="19"/>
                <w:szCs w:val="19"/>
              </w:rPr>
              <w:t xml:space="preserve">Usability</w:t>
            </w:r>
          </w:p>
        </w:tc>
        <w:tc>
          <w:tcPr>
            <w:tcW w:type="dxa" w:w="6404"/>
            <w:tcMar>
              <w:top w:type="dxa" w:w="70"/>
              <w:left w:type="dxa" w:w="90"/>
              <w:bottom w:type="dxa" w:w="70"/>
              <w:right w:type="dxa" w:w="90"/>
            </w:tcMar>
          </w:tcPr>
          <w:p>
            <w:r>
              <w:rPr>
                <w:b w:val="false"/>
                <w:bCs w:val="false"/>
                <w:color w:val="000000"/>
                <w:sz w:val="19"/>
                <w:szCs w:val="19"/>
              </w:rPr>
              <w:t xml:space="preserve">Dashboards must be interpretable by a non-technical stakeholder (CEO, sponsorship lead) without a data glossary — plain-language labels only</w:t>
            </w:r>
          </w:p>
        </w:tc>
      </w:tr>
      <w:tr>
        <w:tc>
          <w:tcPr>
            <w:tcW w:type="dxa" w:w="1067"/>
            <w:tcMar>
              <w:top w:type="dxa" w:w="70"/>
              <w:left w:type="dxa" w:w="90"/>
              <w:bottom w:type="dxa" w:w="70"/>
              <w:right w:type="dxa" w:w="90"/>
            </w:tcMar>
          </w:tcPr>
          <w:p>
            <w:r>
              <w:rPr>
                <w:b w:val="false"/>
                <w:bCs w:val="false"/>
                <w:color w:val="000000"/>
                <w:sz w:val="19"/>
                <w:szCs w:val="19"/>
              </w:rPr>
              <w:t xml:space="preserve">NFR-06</w:t>
            </w:r>
          </w:p>
        </w:tc>
        <w:tc>
          <w:tcPr>
            <w:tcW w:type="dxa" w:w="2609"/>
            <w:tcMar>
              <w:top w:type="dxa" w:w="70"/>
              <w:left w:type="dxa" w:w="90"/>
              <w:bottom w:type="dxa" w:w="70"/>
              <w:right w:type="dxa" w:w="90"/>
            </w:tcMar>
          </w:tcPr>
          <w:p>
            <w:r>
              <w:rPr>
                <w:b w:val="false"/>
                <w:bCs w:val="false"/>
                <w:color w:val="000000"/>
                <w:sz w:val="19"/>
                <w:szCs w:val="19"/>
              </w:rPr>
              <w:t xml:space="preserve">Maintainability</w:t>
            </w:r>
          </w:p>
        </w:tc>
        <w:tc>
          <w:tcPr>
            <w:tcW w:type="dxa" w:w="6404"/>
            <w:tcMar>
              <w:top w:type="dxa" w:w="70"/>
              <w:left w:type="dxa" w:w="90"/>
              <w:bottom w:type="dxa" w:w="70"/>
              <w:right w:type="dxa" w:w="90"/>
            </w:tcMar>
          </w:tcPr>
          <w:p>
            <w:r>
              <w:rPr>
                <w:b w:val="false"/>
                <w:bCs w:val="false"/>
                <w:color w:val="000000"/>
                <w:sz w:val="19"/>
                <w:szCs w:val="19"/>
              </w:rPr>
              <w:t xml:space="preserve">All transformation logic is version-controlled in dbt with tests; no ad hoc SQL feeds a dashboard outside the modeled layer</w:t>
            </w:r>
          </w:p>
        </w:tc>
      </w:tr>
      <w:tr>
        <w:tc>
          <w:tcPr>
            <w:tcW w:type="dxa" w:w="1067"/>
            <w:tcMar>
              <w:top w:type="dxa" w:w="70"/>
              <w:left w:type="dxa" w:w="90"/>
              <w:bottom w:type="dxa" w:w="70"/>
              <w:right w:type="dxa" w:w="90"/>
            </w:tcMar>
          </w:tcPr>
          <w:p>
            <w:r>
              <w:rPr>
                <w:b w:val="false"/>
                <w:bCs w:val="false"/>
                <w:color w:val="000000"/>
                <w:sz w:val="19"/>
                <w:szCs w:val="19"/>
              </w:rPr>
              <w:t xml:space="preserve">NFR-07</w:t>
            </w:r>
          </w:p>
        </w:tc>
        <w:tc>
          <w:tcPr>
            <w:tcW w:type="dxa" w:w="2609"/>
            <w:tcMar>
              <w:top w:type="dxa" w:w="70"/>
              <w:left w:type="dxa" w:w="90"/>
              <w:bottom w:type="dxa" w:w="70"/>
              <w:right w:type="dxa" w:w="90"/>
            </w:tcMar>
          </w:tcPr>
          <w:p>
            <w:r>
              <w:rPr>
                <w:b w:val="false"/>
                <w:bCs w:val="false"/>
                <w:color w:val="000000"/>
                <w:sz w:val="19"/>
                <w:szCs w:val="19"/>
              </w:rPr>
              <w:t xml:space="preserve">Reproducibility</w:t>
            </w:r>
          </w:p>
        </w:tc>
        <w:tc>
          <w:tcPr>
            <w:tcW w:type="dxa" w:w="6404"/>
            <w:tcMar>
              <w:top w:type="dxa" w:w="70"/>
              <w:left w:type="dxa" w:w="90"/>
              <w:bottom w:type="dxa" w:w="70"/>
              <w:right w:type="dxa" w:w="90"/>
            </w:tcMar>
          </w:tcPr>
          <w:p>
            <w:r>
              <w:rPr>
                <w:b w:val="false"/>
                <w:bCs w:val="false"/>
                <w:color w:val="000000"/>
                <w:sz w:val="19"/>
                <w:szCs w:val="19"/>
              </w:rPr>
              <w:t xml:space="preserve">The entire environment is reproducible from requirements.txt and docker-compose.yml alone, on a clean machine</w:t>
            </w:r>
          </w:p>
        </w:tc>
      </w:tr>
    </w:tbl>
    <w:p>
      <w:pPr>
        <w:pStyle w:val="Heading1"/>
        <w:spacing w:after="120" w:before="240"/>
      </w:pPr>
      <w:r>
        <w:rPr>
          <w:b/>
          <w:bCs/>
          <w:color w:val="1a1a2e"/>
        </w:rPr>
        <w:t xml:space="preserve">6. Assumptions &amp; Constraints</w:t>
      </w:r>
    </w:p>
    <w:p>
      <w:pPr>
        <w:spacing w:after="120"/>
      </w:pPr>
      <w:r>
        <w:t xml:space="preserve">The synthetic dataset (Phase 3) stands in for real Ticketmaster and Oracle MICROS exports and is built to include realistic data quality issues — missing values, duplicate records, inconsistent formatting — so that the data cleaning and profiling work in Phase 3 reflects a real production environment rather than a clean toy dataset.</w:t>
      </w:r>
    </w:p>
    <w:p>
      <w:pPr>
        <w:spacing w:after="120"/>
      </w:pPr>
      <w:r>
        <w:t xml:space="preserve">All monetary figures (the $2.4M baseline, average account value, etc.) are illustrative estimates calibrated to be realistic for a mid-market NBA franchise, not figures from any real team's financials.</w:t>
      </w:r>
    </w:p>
    <w:p>
      <w:r>
        <w:br w:type="page"/>
      </w:r>
    </w:p>
    <w:p>
      <w:pPr>
        <w:pStyle w:val="Heading1"/>
        <w:spacing w:after="120" w:before="240"/>
      </w:pPr>
      <w:r>
        <w:rPr>
          <w:b/>
          <w:bCs/>
          <w:color w:val="1a1a2e"/>
        </w:rPr>
        <w:t xml:space="preserve">7. Sign-off</w:t>
      </w:r>
    </w:p>
    <w:p>
      <w:pPr>
        <w:spacing w:after="120"/>
      </w:pPr>
      <w:r>
        <w:t xml:space="preserve">By signing below, each stakeholder confirms the requirements in Sections 4 and 5 accurately reflect their needs as captured in the Phase 1 interviews, and approves proceeding to Phase 3 (Data Discovery &amp; Profiling).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a1a2e" w:val="clear"/>
            <w:tcMar>
              <w:top w:type="dxa" w:w="70"/>
              <w:left w:type="dxa" w:w="90"/>
              <w:bottom w:type="dxa" w:w="70"/>
              <w:right w:type="dxa" w:w="90"/>
            </w:tcMar>
          </w:tcPr>
          <w:p>
            <w:r>
              <w:rPr>
                <w:b/>
                <w:bCs/>
                <w:color w:val="FFFFFF"/>
                <w:sz w:val="18"/>
                <w:szCs w:val="18"/>
              </w:rPr>
              <w:t xml:space="preserve">Stakeholder</w:t>
            </w:r>
          </w:p>
        </w:tc>
        <w:tc>
          <w:tcPr>
            <w:tcW w:type="dxa" w:w="2520"/>
            <w:shd w:fill="1a1a2e" w:val="clear"/>
            <w:tcMar>
              <w:top w:type="dxa" w:w="70"/>
              <w:left w:type="dxa" w:w="90"/>
              <w:bottom w:type="dxa" w:w="70"/>
              <w:right w:type="dxa" w:w="90"/>
            </w:tcMar>
          </w:tcPr>
          <w:p>
            <w:r>
              <w:rPr>
                <w:b/>
                <w:bCs/>
                <w:color w:val="FFFFFF"/>
                <w:sz w:val="18"/>
                <w:szCs w:val="18"/>
              </w:rPr>
              <w:t xml:space="preserve">Signature</w:t>
            </w:r>
          </w:p>
        </w:tc>
        <w:tc>
          <w:tcPr>
            <w:tcW w:type="dxa" w:w="2520"/>
            <w:shd w:fill="1a1a2e" w:val="clear"/>
            <w:tcMar>
              <w:top w:type="dxa" w:w="70"/>
              <w:left w:type="dxa" w:w="90"/>
              <w:bottom w:type="dxa" w:w="70"/>
              <w:right w:type="dxa" w:w="90"/>
            </w:tcMar>
          </w:tcPr>
          <w:p>
            <w:r>
              <w:rPr>
                <w:b/>
                <w:bCs/>
                <w:color w:val="FFFFFF"/>
                <w:sz w:val="18"/>
                <w:szCs w:val="18"/>
              </w:rPr>
              <w:t xml:space="preserve">Date</w:t>
            </w:r>
          </w:p>
        </w:tc>
        <w:tc>
          <w:tcPr>
            <w:tcW w:type="dxa" w:w="2520"/>
            <w:shd w:fill="1a1a2e" w:val="clear"/>
            <w:tcMar>
              <w:top w:type="dxa" w:w="70"/>
              <w:left w:type="dxa" w:w="90"/>
              <w:bottom w:type="dxa" w:w="70"/>
              <w:right w:type="dxa" w:w="90"/>
            </w:tcMar>
          </w:tcPr>
          <w:p>
            <w:r>
              <w:rPr>
                <w:b/>
                <w:bCs/>
                <w:color w:val="FFFFFF"/>
                <w:sz w:val="18"/>
                <w:szCs w:val="18"/>
              </w:rPr>
              <w:t xml:space="preserve">Comments</w:t>
            </w:r>
          </w:p>
        </w:tc>
      </w:tr>
      <w:tr>
        <w:tc>
          <w:tcPr>
            <w:tcW w:type="dxa" w:w="2520"/>
            <w:tcMar>
              <w:top w:type="dxa" w:w="70"/>
              <w:left w:type="dxa" w:w="90"/>
              <w:bottom w:type="dxa" w:w="70"/>
              <w:right w:type="dxa" w:w="90"/>
            </w:tcMar>
          </w:tcPr>
          <w:p>
            <w:r>
              <w:rPr>
                <w:b w:val="false"/>
                <w:bCs w:val="false"/>
                <w:color w:val="000000"/>
                <w:sz w:val="18"/>
                <w:szCs w:val="18"/>
              </w:rPr>
              <w:t xml:space="preserve">Sarah Coleman — VP of Marketing</w:t>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r>
      <w:tr>
        <w:tc>
          <w:tcPr>
            <w:tcW w:type="dxa" w:w="2520"/>
            <w:tcMar>
              <w:top w:type="dxa" w:w="70"/>
              <w:left w:type="dxa" w:w="90"/>
              <w:bottom w:type="dxa" w:w="70"/>
              <w:right w:type="dxa" w:w="90"/>
            </w:tcMar>
          </w:tcPr>
          <w:p>
            <w:r>
              <w:rPr>
                <w:b w:val="false"/>
                <w:bCs w:val="false"/>
                <w:color w:val="000000"/>
                <w:sz w:val="18"/>
                <w:szCs w:val="18"/>
              </w:rPr>
              <w:t xml:space="preserve">Marcus Webb — Director of Ticket Sales</w:t>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r>
      <w:tr>
        <w:tc>
          <w:tcPr>
            <w:tcW w:type="dxa" w:w="2520"/>
            <w:tcMar>
              <w:top w:type="dxa" w:w="70"/>
              <w:left w:type="dxa" w:w="90"/>
              <w:bottom w:type="dxa" w:w="70"/>
              <w:right w:type="dxa" w:w="90"/>
            </w:tcMar>
          </w:tcPr>
          <w:p>
            <w:r>
              <w:rPr>
                <w:b w:val="false"/>
                <w:bCs w:val="false"/>
                <w:color w:val="000000"/>
                <w:sz w:val="18"/>
                <w:szCs w:val="18"/>
              </w:rPr>
              <w:t xml:space="preserve">Diane Ruiz — Arena General Manager</w:t>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r>
      <w:tr>
        <w:tc>
          <w:tcPr>
            <w:tcW w:type="dxa" w:w="2520"/>
            <w:tcMar>
              <w:top w:type="dxa" w:w="70"/>
              <w:left w:type="dxa" w:w="90"/>
              <w:bottom w:type="dxa" w:w="70"/>
              <w:right w:type="dxa" w:w="90"/>
            </w:tcMar>
          </w:tcPr>
          <w:p>
            <w:r>
              <w:rPr>
                <w:b w:val="false"/>
                <w:bCs w:val="false"/>
                <w:color w:val="000000"/>
                <w:sz w:val="18"/>
                <w:szCs w:val="18"/>
              </w:rPr>
              <w:t xml:space="preserve">VP of Business Operations — Executive Sponsor</w:t>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c>
          <w:tcPr>
            <w:tcW w:type="dxa" w:w="2520"/>
            <w:tcMar>
              <w:top w:type="dxa" w:w="70"/>
              <w:left w:type="dxa" w:w="90"/>
              <w:bottom w:type="dxa" w:w="70"/>
              <w:right w:type="dxa" w:w="90"/>
            </w:tcMar>
          </w:tcPr>
          <w:p>
            <w:r>
              <w:rPr>
                <w:b w:val="false"/>
                <w:bCs w:val="false"/>
                <w:color w:val="000000"/>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NBA Franchise Fan Revenue Intelligence Engine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2026-07-22T14:45:17.038Z</dcterms:created>
  <dcterms:modified xsi:type="dcterms:W3CDTF">2026-07-22T14:45:17.051Z</dcterms:modified>
</cp:coreProperties>
</file>

<file path=docProps/custom.xml><?xml version="1.0" encoding="utf-8"?>
<Properties xmlns="http://schemas.openxmlformats.org/officeDocument/2006/custom-properties" xmlns:vt="http://schemas.openxmlformats.org/officeDocument/2006/docPropsVTypes"/>
</file>