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99.png" ContentType="image/png"/>
  <Override PartName="/word/media/rId69.png" ContentType="image/png"/>
  <Override PartName="/word/media/rId105.png" ContentType="image/png"/>
  <Override PartName="/word/media/rId61.png" ContentType="image/png"/>
  <Override PartName="/word/media/rId64.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honorees</w:t>
      </w:r>
      <w:r>
        <w:t xml:space="preserve"> </w:t>
      </w:r>
      <w:r>
        <w:t xml:space="preserve">and</w:t>
      </w:r>
      <w:r>
        <w:t xml:space="preserve"> </w:t>
      </w:r>
      <w:r>
        <w:t xml:space="preserve">keynotes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greenelab/iscb-diversity-manuscript@94fc5c9</w:t>
        </w:r>
      </w:hyperlink>
      <w:r>
        <w:t xml:space="preserve"> </w:t>
      </w:r>
      <w:r>
        <w:t xml:space="preserve">on March 29,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researchers who had been recognized by the</w:t>
      </w:r>
      <w:r>
        <w:t xml:space="preserve"> </w:t>
      </w:r>
      <w:r>
        <w:rPr>
          <w:i/>
        </w:rPr>
        <w:t xml:space="preserve">International Society for Computational Biology</w:t>
      </w:r>
      <w:r>
        <w:t xml:space="preserve"> </w:t>
      </w:r>
      <w:r>
        <w:t xml:space="preserve">(75 fellows and 337 keynote speakers) with over 170,000 researchers who had been the last authors on computational biology papers between 1993 and 2019.</w:t>
      </w:r>
      <w:r>
        <w:t xml:space="preserve"> </w:t>
      </w:r>
      <w:r>
        <w:t xml:space="preserve">The proportion of female fellows and keynote speakers was similar to that of the field overall.</w:t>
      </w:r>
      <w:r>
        <w:t xml:space="preserve"> </w:t>
      </w:r>
      <w:r>
        <w:t xml:space="preserve">However, names of East Asian origin have been persistently underrepresented among fellows and keynote speakers.</w:t>
      </w:r>
      <w:r>
        <w:t xml:space="preserve"> </w:t>
      </w:r>
      <w:r>
        <w:t xml:space="preserve">Moreover, fellows and keynote speakers with an affiliation in the United States were overrepresented by a factor of 2.0;</w:t>
      </w:r>
      <w:r>
        <w:t xml:space="preserve"> </w:t>
      </w:r>
      <w:r>
        <w:t xml:space="preserve">almost three quarters of this excess was accounted for by a deficit of 89 fellows and keynote authors from China, India, France and Italy.</w:t>
      </w:r>
      <w:r>
        <w:t xml:space="preserve"> </w:t>
      </w:r>
      <w:r>
        <w:t xml:space="preserve">Within the US, we found an excess of White fellows and keynote speakers and a depletion of Asian fellows and keynote speakers.</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We used multiple methods to predict the gender and name origins of honorees.</w:t>
      </w:r>
      <w:r>
        <w:t xml:space="preserve"> </w:t>
      </w: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to complement these existing methods and built multiple machine learning classifiers to predict name origin.</w:t>
      </w:r>
      <w:r>
        <w:t xml:space="preserve"> </w:t>
      </w:r>
      <w:r>
        <w:t xml:space="preserve">We also examined the last authors for more than 170,000 computational biology publications to establish a field-specific baseline using the same metrics.</w:t>
      </w:r>
      <w:r>
        <w:t xml:space="preserve"> </w:t>
      </w:r>
      <w:r>
        <w:t xml:space="preserve">The results were consistent across all approaches: we found a dearth of non-White speakers and honorees.</w:t>
      </w:r>
      <w:r>
        <w:t xml:space="preserve"> </w:t>
      </w:r>
      <w:r>
        <w:t xml:space="preserve">The lack of Asian scientists among keynote speakers and Fellows was particularly pronounced when compared against the field-specific background.</w:t>
      </w:r>
    </w:p>
    <w:p>
      <w:pPr>
        <w:pStyle w:val="Heading2"/>
      </w:pPr>
      <w:bookmarkStart w:id="50" w:name="results"/>
      <w:r>
        <w:t xml:space="preserve">Results</w:t>
      </w:r>
      <w:bookmarkEnd w:id="50"/>
    </w:p>
    <w:p>
      <w:pPr>
        <w:pStyle w:val="FirstParagraph"/>
      </w:pPr>
      <w:r>
        <w:t xml:space="preserve">We curated a dataset of ISCB honorees that included 412 honorees who were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technical-considerations"/>
      <w:r>
        <w:t xml:space="preserve">Technical considerations</w:t>
      </w:r>
      <w:bookmarkEnd w:id="52"/>
    </w:p>
    <w:p>
      <w:pPr>
        <w:pStyle w:val="FirstParagraph"/>
      </w:pPr>
      <w:r>
        <w:t xml:space="preserve">Selecting an optimal study design is the important first step to acquire an accurate and thorough answer to any research question.</w:t>
      </w:r>
      <w:r>
        <w:t xml:space="preserve"> </w:t>
      </w:r>
      <w:r>
        <w:t xml:space="preserve">This study is not an exception: we were faced with multiple decisions at many analysis steps.</w:t>
      </w:r>
      <w:r>
        <w:t xml:space="preserve"> </w:t>
      </w:r>
      <w:r>
        <w:t xml:space="preserve">We are grateful to all the reviewers whose input made the study more rigorous after each revision.</w:t>
      </w:r>
      <w:r>
        <w:t xml:space="preserve"> </w:t>
      </w:r>
      <w:r>
        <w:t xml:space="preserve">As we discussed and revised the analysis, we committed to stay transparent and documented the reasoning and potential caveats of each decision.</w:t>
      </w:r>
      <w:r>
        <w:t xml:space="preserve"> </w:t>
      </w:r>
      <w:r>
        <w:t xml:space="preserve">Details of these discussions can be found under the</w:t>
      </w:r>
      <w:r>
        <w:t xml:space="preserve"> </w:t>
      </w:r>
      <w:hyperlink r:id="rId53">
        <w:r>
          <w:rPr>
            <w:rStyle w:val="Hyperlink"/>
          </w:rPr>
          <w:t xml:space="preserve">Issues page</w:t>
        </w:r>
      </w:hyperlink>
      <w:r>
        <w:t xml:space="preserve"> </w:t>
      </w:r>
      <w:r>
        <w:t xml:space="preserve">on the study GitHub repository.</w:t>
      </w:r>
      <w:r>
        <w:t xml:space="preserve"> </w:t>
      </w:r>
      <w:r>
        <w:t xml:space="preserve">We highlighted here four important decisions we made and how each one may affect the result (Fig.</w:t>
      </w:r>
      <w:r>
        <w:t xml:space="preserve"> </w:t>
      </w:r>
      <w:hyperlink w:anchor="fig:versions">
        <w:r>
          <w:rPr>
            <w:rStyle w:val="Hyperlink"/>
          </w:rPr>
          <w:t xml:space="preserve">1</w:t>
        </w:r>
      </w:hyperlink>
      <w:r>
        <w:t xml:space="preserve">).</w:t>
      </w:r>
    </w:p>
    <w:bookmarkStart w:id="0" w:name="fig:versions"/>
    <w:p>
      <w:pPr>
        <w:pStyle w:val="CaptionedFigure"/>
      </w:pPr>
      <w:bookmarkStart w:id="55" w:name="fig:versions"/>
      <w:r>
        <w:drawing>
          <wp:inline>
            <wp:extent cx="5943600" cy="1304811"/>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Finally, in this latest version, we used citation count to weight articles to account for the impact variation of research contributions." title="" id="1" name="Picture"/>
            <a:graphic>
              <a:graphicData uri="http://schemas.openxmlformats.org/drawingml/2006/picture">
                <pic:pic>
                  <pic:nvPicPr>
                    <pic:cNvPr descr="https://raw.githubusercontent.com/greenelab/iscb-diversity/a61d67806a5212488b4c574078f80467cbd8cf5d/figs/versions.png" id="0" name="Picture"/>
                    <pic:cNvPicPr>
                      <a:picLocks noChangeArrowheads="1" noChangeAspect="1"/>
                    </pic:cNvPicPr>
                  </pic:nvPicPr>
                  <pic:blipFill>
                    <a:blip r:embed="rId54"/>
                    <a:stretch>
                      <a:fillRect/>
                    </a:stretch>
                  </pic:blipFill>
                  <pic:spPr bwMode="auto">
                    <a:xfrm>
                      <a:off x="0" y="0"/>
                      <a:ext cx="5943600" cy="1304811"/>
                    </a:xfrm>
                    <a:prstGeom prst="rect">
                      <a:avLst/>
                    </a:prstGeom>
                    <a:noFill/>
                    <a:ln w="9525">
                      <a:noFill/>
                      <a:headEnd/>
                      <a:tailEnd/>
                    </a:ln>
                  </pic:spPr>
                </pic:pic>
              </a:graphicData>
            </a:graphic>
          </wp:inline>
        </w:drawing>
      </w:r>
      <w:bookmarkEnd w:id="55"/>
    </w:p>
    <w:p>
      <w:pPr>
        <w:pStyle w:val="ImageCaption"/>
      </w:pPr>
      <w:r>
        <w:t xml:space="preserve">Figure 1: Study progression.</w:t>
      </w:r>
      <w:r>
        <w:t xml:space="preserve"> </w:t>
      </w:r>
      <w:r>
        <w:t xml:space="preserve">In</w:t>
      </w:r>
      <w:r>
        <w:t xml:space="preserve"> </w:t>
      </w:r>
      <w:hyperlink r:id="rId56">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7">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Finally, in this</w:t>
      </w:r>
      <w:r>
        <w:t xml:space="preserve"> </w:t>
      </w:r>
      <w:hyperlink r:id="rId58">
        <w:r>
          <w:rPr>
            <w:rStyle w:val="Hyperlink"/>
          </w:rPr>
          <w:t xml:space="preserve">latest version</w:t>
        </w:r>
      </w:hyperlink>
      <w:r>
        <w:t xml:space="preserve">, we used citation count to weight articles to account for the impact variation of research contributions.</w:t>
      </w:r>
    </w:p>
    <w:bookmarkEnd w:id="0"/>
    <w:p>
      <w:pPr>
        <w:pStyle w:val="BodyText"/>
      </w:pPr>
      <w:r>
        <w:t xml:space="preserve">Our findings across different versions of the study were generally consistent.</w:t>
      </w:r>
      <w:r>
        <w:t xml:space="preserve"> </w:t>
      </w:r>
      <w:r>
        <w:t xml:space="preserve">We first expanded the article set from 29,755 journal-specific to 176,110 all computational biology PubMed articles, making the sample size nearly six times larger than previously.</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r>
        <w:t xml:space="preserve"> </w:t>
      </w:r>
      <w:r>
        <w:t xml:space="preserve">However, we acknowledged that we might have miss corresponding authors in the first position who can be considered for keynote speakers or fellows</w:t>
      </w:r>
      <w:r>
        <w:t xml:space="preserve"> </w:t>
      </w:r>
      <w:r>
        <w:t xml:space="preserve">[</w:t>
      </w:r>
      <w:hyperlink w:anchor="ref-ehwQrUKL">
        <w:r>
          <w:rPr>
            <w:rStyle w:val="Hyperlink"/>
          </w:rPr>
          <w:t xml:space="preserve">12</w:t>
        </w:r>
      </w:hyperlink>
      <w:r>
        <w:t xml:space="preserve">]</w:t>
      </w:r>
      <w:r>
        <w:t xml:space="preserve">.</w:t>
      </w:r>
    </w:p>
    <w:p>
      <w:pPr>
        <w:pStyle w:val="BodyText"/>
      </w:pPr>
      <w:r>
        <w:t xml:space="preserve">In version 3, instead of considering all articles equally as in the earlier versions, we used citation count to weight articles to control for the differential impact of research contributions.</w:t>
      </w:r>
      <w:r>
        <w:t xml:space="preserve"> </w:t>
      </w:r>
      <w:r>
        <w:t xml:space="preserve">However, we note a potential bias with the use of citation counts: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To the extent that there may be a bias in citation practices, we should expect that the bias for honorees would align with one for citations, meaning that our analysis would understate the severity of disparities.</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This would also lead to our analyses understating the difference.</w:t>
      </w:r>
      <w:r>
        <w:t xml:space="preserve"> </w:t>
      </w:r>
      <w:r>
        <w:t xml:space="preserve">Previously in version 1–2, without citation counts, we found even more pronounced differences between the two groups of authors and honorees.</w:t>
      </w:r>
    </w:p>
    <w:p>
      <w:pPr>
        <w:pStyle w:val="BodyText"/>
      </w:pPr>
      <w:r>
        <w:t xml:space="preserve">Finally, in all versions of the analysis, rather than applying a hard assignment for each prediction, we analyzed the raw prediction probability values to capture the uncertainty of the prediction model, improving the accuracy of the aggregate statistics.</w:t>
      </w:r>
      <w:r>
        <w:t xml:space="preserve"> </w:t>
      </w:r>
      <w:r>
        <w:t xml:space="preserve">Although our final estimates of the effect size may be conservative (see more in Discussion), the general conclusion remained robust throughout different sets of study design parameters.</w:t>
      </w:r>
      <w:r>
        <w:t xml:space="preserve"> </w:t>
      </w:r>
      <w:r>
        <w:t xml:space="preserve">If other researchers aim to answer similar questions of their field, our recommendation is to take caution when making these decisions and account for field-specific factors such as authorship practice.</w:t>
      </w:r>
    </w:p>
    <w:p>
      <w:pPr>
        <w:pStyle w:val="Heading3"/>
      </w:pPr>
      <w:bookmarkStart w:id="59" w:name="X6664c7e7ca060fbf628b32ce9efaa2d8e64ce48"/>
      <w:r>
        <w:t xml:space="preserve">Similar gender proportion between ISCB’s honorees and the field</w:t>
      </w:r>
      <w:bookmarkEnd w:id="59"/>
    </w:p>
    <w:p>
      <w:pPr>
        <w:pStyle w:val="FirstParagraph"/>
      </w:pPr>
      <w:r>
        <w:t xml:space="preserve">We observed a gradual increase of the proportion of predicted female authors,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60">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probability of recognizing only male honorees and none that appeared to have exclusively female honorees.</w:t>
      </w:r>
      <w:r>
        <w:t xml:space="preserve"> </w:t>
      </w:r>
      <w:r>
        <w:t xml:space="preserve">We sought to examine whether or not there was a difference in the proportion of female names between authors and honorees.</w:t>
      </w:r>
      <w:r>
        <w:t xml:space="preserve"> </w:t>
      </w:r>
      <w:r>
        <w:t xml:space="preserve">A multiple linear regression of this proportion for the groups and year did not reveal a significant difference (</w:t>
      </w:r>
      <w:r>
        <w:rPr>
          <w:i/>
        </w:rPr>
        <w:t xml:space="preserve">p</w:t>
      </w:r>
      <w:r>
        <w:t xml:space="preserve"> </w:t>
      </w:r>
      <w:r>
        <w:t xml:space="preserve">= 0.237).</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2" w:name="fig:gender_breakdown"/>
      <w:r>
        <w:drawing>
          <wp:inline>
            <wp:extent cx="5943600" cy="2971800"/>
            <wp:effectExtent b="0" l="0" r="0" t="0"/>
            <wp:docPr descr="Figure 2: Estimated composition of gender prediction over the years of all Pubmed computational biology and bioinformatics journal authors (left), and all ISCB Fellows and keynote speakers (right). Male proportion (yellow) was computed as the average of the probability of being male of last authors (weight accordingly) or ISCB honorees each year. Female proportion (blue) was the complement of the male proportion. ISCB Fellows and keynote speakers appear have similar gender proportions compared to that of PubMed authors." title="" id="1" name="Picture"/>
            <a:graphic>
              <a:graphicData uri="http://schemas.openxmlformats.org/drawingml/2006/picture">
                <pic:pic>
                  <pic:nvPicPr>
                    <pic:cNvPr descr="https://raw.githubusercontent.com/greenelab/iscb-diversity/ac43b098a2a994cbe3788bf7a19f541fc533b3de/figs/gender_breakdown.png" id="0" name="Picture"/>
                    <pic:cNvPicPr>
                      <a:picLocks noChangeArrowheads="1" noChangeAspect="1"/>
                    </pic:cNvPicPr>
                  </pic:nvPicPr>
                  <pic:blipFill>
                    <a:blip r:embed="rId61"/>
                    <a:stretch>
                      <a:fillRect/>
                    </a:stretch>
                  </pic:blipFill>
                  <pic:spPr bwMode="auto">
                    <a:xfrm>
                      <a:off x="0" y="0"/>
                      <a:ext cx="5943600" cy="2971800"/>
                    </a:xfrm>
                    <a:prstGeom prst="rect">
                      <a:avLst/>
                    </a:prstGeom>
                    <a:noFill/>
                    <a:ln w="9525">
                      <a:noFill/>
                      <a:headEnd/>
                      <a:tailEnd/>
                    </a:ln>
                  </pic:spPr>
                </pic:pic>
              </a:graphicData>
            </a:graphic>
          </wp:inline>
        </w:drawing>
      </w:r>
      <w:bookmarkEnd w:id="62"/>
    </w:p>
    <w:p>
      <w:pPr>
        <w:pStyle w:val="ImageCaption"/>
      </w:pPr>
      <w:r>
        <w:t xml:space="preserve">Figure 2: Estimated composition of gender prediction over the years of</w:t>
      </w:r>
      <w:r>
        <w:t xml:space="preserve"> </w:t>
      </w:r>
      <w:r>
        <w:t xml:space="preserve">all Pubmed computational biology and bioinformatics journal authors (left),</w:t>
      </w:r>
      <w:r>
        <w:t xml:space="preserve"> </w:t>
      </w:r>
      <w:r>
        <w:t xml:space="preserve">and all ISCB Fellows and keynote speakers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Fellows and keynote speakers appear have similar gender proportions compared to that of PubMed authors.</w:t>
      </w:r>
    </w:p>
    <w:bookmarkEnd w:id="0"/>
    <w:p>
      <w:pPr>
        <w:pStyle w:val="Heading3"/>
      </w:pPr>
      <w:bookmarkStart w:id="63" w:name="Xf77fba3f6fbbfccd8212adc6ab218ddd91d124b"/>
      <w:r>
        <w:t xml:space="preserve">Honorees with Celtic/English names are overrepresented while honorees with East Asian names are underrepresented</w:t>
      </w:r>
      <w:bookmarkEnd w:id="63"/>
    </w:p>
    <w:p>
      <w:pPr>
        <w:pStyle w:val="FirstParagraph"/>
      </w:pPr>
      <w:r>
        <w:t xml:space="preserve">We applied our Wiki2019-LSTM model to both our computational biology honorees dataset and our dataset of last authors.</w:t>
      </w:r>
      <w:r>
        <w:t xml:space="preserve"> </w:t>
      </w:r>
      <w:r>
        <w:t xml:space="preserve">We found that the proportion of authors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of honorees are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honoree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a Celtic/English name has significantly higher odds of being selected as an honoree (OR</w:t>
      </w:r>
      <w:r>
        <w:rPr>
          <w:vertAlign w:val="subscript"/>
        </w:rPr>
        <w:t xml:space="preserve">Celtic/English</w:t>
      </w:r>
      <w:r>
        <w:t xml:space="preserve"> </w:t>
      </w:r>
      <w:r>
        <w:t xml:space="preserve">= 1.21,</w:t>
      </w:r>
      <w:r>
        <w:t xml:space="preserve"> </w:t>
      </w:r>
      <m:oMath>
        <m:r>
          <m:t>β</m:t>
        </m:r>
      </m:oMath>
      <w:r>
        <w:rPr>
          <w:vertAlign w:val="subscript"/>
        </w:rPr>
        <w:t xml:space="preserve">Celtic/English</w:t>
      </w:r>
      <w:r>
        <w:t xml:space="preserve"> </w:t>
      </w:r>
      <w:r>
        <w:t xml:space="preserve">= 0.19,</w:t>
      </w:r>
      <w:r>
        <w:t xml:space="preserve"> </w:t>
      </w:r>
      <w:r>
        <w:rPr>
          <w:i/>
        </w:rPr>
        <w:t xml:space="preserve">p</w:t>
      </w:r>
      <w:r>
        <w:t xml:space="preserve"> </w:t>
      </w:r>
      <w:r>
        <w:t xml:space="preserve">= 6.7×10</w:t>
      </w:r>
      <w:r>
        <w:rPr>
          <w:vertAlign w:val="superscript"/>
        </w:rPr>
        <w:t xml:space="preserve">-4</w:t>
      </w:r>
      <w:r>
        <w:t xml:space="preserve">).</w:t>
      </w:r>
      <w:r>
        <w:t xml:space="preserve"> </w:t>
      </w:r>
      <w:r>
        <w:t xml:space="preserve">Meanwhile, an East Asian name has significantly lower odds of being selected as an honoree compared to other names (OR</w:t>
      </w:r>
      <w:r>
        <w:rPr>
          <w:vertAlign w:val="subscript"/>
        </w:rPr>
        <w:t xml:space="preserve">East Asian</w:t>
      </w:r>
      <w:r>
        <w:t xml:space="preserve"> </w:t>
      </w:r>
      <w:r>
        <w:t xml:space="preserve">= 0.19,</w:t>
      </w:r>
      <w:r>
        <w:t xml:space="preserve"> </w:t>
      </w:r>
      <m:oMath>
        <m:r>
          <m:t>β</m:t>
        </m:r>
      </m:oMath>
      <w:r>
        <w:rPr>
          <w:vertAlign w:val="subscript"/>
        </w:rPr>
        <w:t xml:space="preserve">East Asian</w:t>
      </w:r>
      <w:r>
        <w:t xml:space="preserve"> </w:t>
      </w:r>
      <w:r>
        <w:t xml:space="preserve">= -1.67,</w:t>
      </w:r>
      <w:r>
        <w:t xml:space="preserve"> </w:t>
      </w:r>
      <w:r>
        <w:rPr>
          <w:i/>
        </w:rPr>
        <w:t xml:space="preserve">p</w:t>
      </w:r>
      <w:r>
        <w:t xml:space="preserve"> </w:t>
      </w:r>
      <w:r>
        <w:t xml:space="preserve">= 5.9×10</w:t>
      </w:r>
      <w:r>
        <w:rPr>
          <w:vertAlign w:val="superscript"/>
        </w:rPr>
        <w:t xml:space="preserve">-9</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0.37 and</w:t>
      </w:r>
      <w:r>
        <w:t xml:space="preserve"> </w:t>
      </w:r>
      <w:r>
        <w:rPr>
          <w:i/>
        </w:rPr>
        <w:t xml:space="preserve">p</w:t>
      </w:r>
      <w:r>
        <w:t xml:space="preserve"> </w:t>
      </w:r>
      <w:r>
        <w:t xml:space="preserve">= 0.44,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5" w:name="fig:region_breakdown"/>
      <w:r>
        <w:drawing>
          <wp:inline>
            <wp:extent cx="5943600" cy="4879074"/>
            <wp:effectExtent b="0" l="0" r="0" t="0"/>
            <wp:docPr descr="Figure 3: (A) Estimated composition of name origin prediction over the years of all Pubmed computational biology and bioinformatics journal authors (left), and all ISCB Fellows and keynote speakers (right). (B) For each region, the mean predicted probability of Pubmed articles is shown as teal generalized additive model curve, and the mean probability and 95% confidence interval of the ISCB honoree predictions are shown as dark circles and vertical lines. Compared to the name collection of Pubmed authors, honorees with Celtic/English names are overrepresented while honorees with East Asian names are underrepresented. No statistically significant difference was observed between the proportion of honorees and authors with European names or in other categories (see Table 1)." title="" id="1" name="Picture"/>
            <a:graphic>
              <a:graphicData uri="http://schemas.openxmlformats.org/drawingml/2006/picture">
                <pic:pic>
                  <pic:nvPicPr>
                    <pic:cNvPr descr="https://raw.githubusercontent.com/greenelab/iscb-diversity/ac43b098a2a994cbe3788bf7a19f541fc533b3de/figs/region_breakdown.png" id="0" name="Picture"/>
                    <pic:cNvPicPr>
                      <a:picLocks noChangeArrowheads="1" noChangeAspect="1"/>
                    </pic:cNvPicPr>
                  </pic:nvPicPr>
                  <pic:blipFill>
                    <a:blip r:embed="rId64"/>
                    <a:stretch>
                      <a:fillRect/>
                    </a:stretch>
                  </pic:blipFill>
                  <pic:spPr bwMode="auto">
                    <a:xfrm>
                      <a:off x="0" y="0"/>
                      <a:ext cx="5943600" cy="4879074"/>
                    </a:xfrm>
                    <a:prstGeom prst="rect">
                      <a:avLst/>
                    </a:prstGeom>
                    <a:noFill/>
                    <a:ln w="9525">
                      <a:noFill/>
                      <a:headEnd/>
                      <a:tailEnd/>
                    </a:ln>
                  </pic:spPr>
                </pic:pic>
              </a:graphicData>
            </a:graphic>
          </wp:inline>
        </w:drawing>
      </w:r>
      <w:bookmarkEnd w:id="65"/>
    </w:p>
    <w:p>
      <w:pPr>
        <w:pStyle w:val="ImageCaption"/>
      </w:pPr>
      <w:r>
        <w:t xml:space="preserve">Figure 3: (A) Estimated composition of name origin prediction over the years of</w:t>
      </w:r>
      <w:r>
        <w:t xml:space="preserve"> </w:t>
      </w:r>
      <w:r>
        <w:t xml:space="preserve">all Pubmed computational biology and bioinformatics journal authors (left),</w:t>
      </w:r>
      <w:r>
        <w:t xml:space="preserve"> </w:t>
      </w:r>
      <w:r>
        <w:t xml:space="preserve">and all ISCB Fellows and keynote speakers (right).</w:t>
      </w:r>
      <w:r>
        <w:t xml:space="preserve"> </w:t>
      </w:r>
      <w:r>
        <w:t xml:space="preserve">(B) For each region, the mean predicted probability of Pubmed articles is shown as teal generalized additive model curve, and the mean probability and 95% confidence interval of the ISCB honoree predictions are shown as dark circles and vertical lines.</w:t>
      </w:r>
      <w:r>
        <w:t xml:space="preserve"> </w:t>
      </w:r>
      <w:r>
        <w:t xml:space="preserve">Compared to the name collection of Pubmed authors, honorees with Celtic/English names are overrepresented while honorees with East Asian names are underrepresented.</w:t>
      </w:r>
      <w:r>
        <w:t xml:space="preserve"> </w:t>
      </w:r>
      <w:r>
        <w:t xml:space="preserve">No statistically significant difference was observed between the proportion of honorees and authors with European names or in other categories (see Table</w:t>
      </w:r>
      <w:r>
        <w:t xml:space="preserve"> </w:t>
      </w:r>
      <w:hyperlink w:anchor="tbl:example_names">
        <w:r>
          <w:rPr>
            <w:rStyle w:val="Hyperlink"/>
          </w:rPr>
          <w:t xml:space="preserve">1</w:t>
        </w:r>
      </w:hyperlink>
      <w:r>
        <w:t xml:space="preserve">).</w:t>
      </w:r>
    </w:p>
    <w:bookmarkEnd w:id="0"/>
    <w:p>
      <w:pPr>
        <w:pStyle w:val="BodyText"/>
      </w:pPr>
      <w:r>
        <w:t xml:space="preserve">When applying the Wiki2019-LSTM model to the name origins of only US-affiliated scientists, we found a similar underrepresentation of honorees with East Asian names (OR</w:t>
      </w:r>
      <w:r>
        <w:rPr>
          <w:vertAlign w:val="subscript"/>
        </w:rPr>
        <w:t xml:space="preserve">East Asian</w:t>
      </w:r>
      <w:r>
        <w:t xml:space="preserve"> </w:t>
      </w:r>
      <w:r>
        <w:t xml:space="preserve">= 0.18,</w:t>
      </w:r>
      <w:r>
        <w:t xml:space="preserve"> </w:t>
      </w:r>
      <m:oMath>
        <m:r>
          <m:t>β</m:t>
        </m:r>
      </m:oMath>
      <w:r>
        <w:rPr>
          <w:vertAlign w:val="subscript"/>
        </w:rPr>
        <w:t xml:space="preserve">East Asian</w:t>
      </w:r>
      <w:r>
        <w:t xml:space="preserve"> </w:t>
      </w:r>
      <w:r>
        <w:t xml:space="preserve">= -1.71,</w:t>
      </w:r>
      <w:r>
        <w:t xml:space="preserve"> </w:t>
      </w:r>
      <w:r>
        <w:rPr>
          <w:i/>
        </w:rPr>
        <w:t xml:space="preserve">p</w:t>
      </w:r>
      <w:r>
        <w:t xml:space="preserve"> </w:t>
      </w:r>
      <w:r>
        <w:t xml:space="preserve">= 6.5×10</w:t>
      </w:r>
      <w:r>
        <w:rPr>
          <w:vertAlign w:val="superscript"/>
        </w:rPr>
        <w:t xml:space="preserve">-4</w:t>
      </w:r>
      <w:r>
        <w:t xml:space="preserve">).</w:t>
      </w:r>
      <w:r>
        <w:t xml:space="preserve"> </w:t>
      </w:r>
      <w:r>
        <w:t xml:space="preserve">We observed no statistically significant difference between the proportion of honorees and authors with Celtic/English names, European names, or names in Other categories (</w:t>
      </w:r>
      <w:r>
        <w:rPr>
          <w:i/>
        </w:rPr>
        <w:t xml:space="preserve">p</w:t>
      </w:r>
      <w:r>
        <w:t xml:space="preserve"> </w:t>
      </w:r>
      <w:r>
        <w:t xml:space="preserve">= 0.61,</w:t>
      </w:r>
      <w:r>
        <w:t xml:space="preserve"> </w:t>
      </w:r>
      <w:r>
        <w:rPr>
          <w:i/>
        </w:rPr>
        <w:t xml:space="preserve">p</w:t>
      </w:r>
      <w:r>
        <w:t xml:space="preserve"> </w:t>
      </w:r>
      <w:r>
        <w:t xml:space="preserve">= 0.12, and</w:t>
      </w:r>
      <w:r>
        <w:t xml:space="preserve"> </w:t>
      </w:r>
      <w:r>
        <w:rPr>
          <w:i/>
        </w:rPr>
        <w:t xml:space="preserve">p</w:t>
      </w:r>
      <w:r>
        <w:t xml:space="preserve"> </w:t>
      </w:r>
      <w:r>
        <w:t xml:space="preserve">= 0.72, respectively).</w:t>
      </w:r>
      <w:r>
        <w:t xml:space="preserve"> </w:t>
      </w:r>
      <w:r>
        <w:t xml:space="preserve">We note that the US was not included in the training of the Wiki2019-LSTM model (see Methods).</w:t>
      </w:r>
      <w:r>
        <w:t xml:space="preserve"> </w:t>
      </w:r>
      <w:r>
        <w:t xml:space="preserve">Please see</w:t>
      </w:r>
      <w:r>
        <w:t xml:space="preserve"> </w:t>
      </w:r>
      <w:hyperlink r:id="rId66">
        <w:r>
          <w:rPr>
            <w:rStyle w:val="Hyperlink"/>
          </w:rPr>
          <w:t xml:space="preserve">analysis notebook</w:t>
        </w:r>
      </w:hyperlink>
      <w:r>
        <w:t xml:space="preserve"> </w:t>
      </w:r>
      <w:r>
        <w:t xml:space="preserve">for more details.</w:t>
      </w:r>
    </w:p>
    <w:p>
      <w:pPr>
        <w:pStyle w:val="Heading3"/>
      </w:pPr>
      <w:bookmarkStart w:id="67" w:name="X6d91aecb9309b250c04db5ef8831a32c0e789fd"/>
      <w:r>
        <w:t xml:space="preserve">Overrepresentation of US-affiliated honorees</w:t>
      </w:r>
      <w:bookmarkEnd w:id="67"/>
    </w:p>
    <w:p>
      <w:pPr>
        <w:pStyle w:val="FirstParagraph"/>
      </w:pPr>
      <w:r>
        <w:t xml:space="preserve">We analyzed the countries of affiliation between last authors and ISCB honorees.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8">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honorees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70" w:name="fig:country-enrichment"/>
      <w:r>
        <w:drawing>
          <wp:inline>
            <wp:extent cx="5943600" cy="3782290"/>
            <wp:effectExtent b="0" l="0" r="0" t="0"/>
            <wp:docPr descr="Figure 4: Each country’s log2 enrichment (LOE) and its 95% confidence interval (left), and the absolute difference between observed (triangle) and expected (circle) number of honorees (right). Positive value of LOE indicates a higher proportion of honorees affiliated with that country compared to authors. Countries are ordered based on the proportion of author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ac43b098a2a994cbe3788bf7a19f541fc533b3de/figs/enrichment-plot.png" id="0" name="Picture"/>
                    <pic:cNvPicPr>
                      <a:picLocks noChangeArrowheads="1" noChangeAspect="1"/>
                    </pic:cNvPicPr>
                  </pic:nvPicPr>
                  <pic:blipFill>
                    <a:blip r:embed="rId69"/>
                    <a:stretch>
                      <a:fillRect/>
                    </a:stretch>
                  </pic:blipFill>
                  <pic:spPr bwMode="auto">
                    <a:xfrm>
                      <a:off x="0" y="0"/>
                      <a:ext cx="5943600" cy="3782290"/>
                    </a:xfrm>
                    <a:prstGeom prst="rect">
                      <a:avLst/>
                    </a:prstGeom>
                    <a:noFill/>
                    <a:ln w="9525">
                      <a:noFill/>
                      <a:headEnd/>
                      <a:tailEnd/>
                    </a:ln>
                  </pic:spPr>
                </pic:pic>
              </a:graphicData>
            </a:graphic>
          </wp:inline>
        </w:drawing>
      </w:r>
      <w:bookmarkEnd w:id="70"/>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honorees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1" w:name="Xadad1cf90ca59a1ed2134bb854c502ad0d9d8f9"/>
      <w:r>
        <w:t xml:space="preserve">Improvements to Honoree Diversity Subsequent to Our Primary Analysis</w:t>
      </w:r>
      <w:bookmarkEnd w:id="71"/>
    </w:p>
    <w:p>
      <w:pPr>
        <w:pStyle w:val="FirstParagraph"/>
      </w:pPr>
      <w:r>
        <w:t xml:space="preserve">While our study was primarily designed to assess the diversity of honorees, the findings raise important questions about what can be done to address the disparities.</w:t>
      </w:r>
      <w:r>
        <w:t xml:space="preserve"> </w:t>
      </w:r>
      <w:r>
        <w:t xml:space="preserve">By publishing our original findings on the biorxiv preprint server, we could begin to answer these questions by examining changes subsequent to our initial report.</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 ISCB is now increasing the diversity of honorees.</w:t>
      </w:r>
      <w:r>
        <w:t xml:space="preserve"> </w:t>
      </w:r>
      <w:r>
        <w:t xml:space="preserve">In 2020, among 12 ISCB Fellows and 5 ISMB keynote speakers, the mean predicted probability of each honoree having an East Asian name is 33%, higher than any estimate in previous years (see</w:t>
      </w:r>
      <w:r>
        <w:t xml:space="preserve"> </w:t>
      </w:r>
      <w:hyperlink r:id="rId72">
        <w:r>
          <w:rPr>
            <w:rStyle w:val="Hyperlink"/>
          </w:rPr>
          <w:t xml:space="preserve">notebook</w:t>
        </w:r>
      </w:hyperlink>
      <w:r>
        <w:t xml:space="preserve">).</w:t>
      </w:r>
      <w:r>
        <w:t xml:space="preserve"> </w:t>
      </w:r>
      <w:r>
        <w:t xml:space="preserve">The set of honorees also includes the first ISCB Fellow from China.</w:t>
      </w:r>
      <w:r>
        <w:t xml:space="preserve"> </w:t>
      </w:r>
      <w:r>
        <w:t xml:space="preserve">Compared to past years, the 2020 honorees appear to better reflect the diversity of scientists in the computational biology field.</w:t>
      </w:r>
      <w:r>
        <w:t xml:space="preserve"> </w:t>
      </w:r>
      <w:r>
        <w:t xml:space="preserve">These new results suggest: 1) deserving honorees who were members of under-recognized groups existed but had not been recognized until now, and 2) simply examining honoree distribution’s alignment with the field can trigger changes that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3" w:name="discussion"/>
      <w:r>
        <w:t xml:space="preserve">Discussion</w:t>
      </w:r>
      <w:bookmarkEnd w:id="73"/>
    </w:p>
    <w:p>
      <w:pPr>
        <w:pStyle w:val="FirstParagraph"/>
      </w:pPr>
      <w:r>
        <w:t xml:space="preserve">A major challenge that we faced in carrying out this work was to narrow down geographic origins for some groups of names.</w:t>
      </w:r>
      <w:r>
        <w:t xml:space="preserve"> </w:t>
      </w:r>
      <w:r>
        <w:t xml:space="preserve">Some name origin groups, such as Hispanic names, are geographically disparate.</w:t>
      </w:r>
      <w:r>
        <w:t xml:space="preserve"> </w:t>
      </w:r>
      <w:r>
        <w:t xml:space="preserve">We were unable to construct a classifier that could distinguish between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substantially understate the extent to which minoritized scientists are underrepresented among honorees and authors.</w:t>
      </w:r>
    </w:p>
    <w:p>
      <w:pPr>
        <w:pStyle w:val="BodyText"/>
      </w:pPr>
      <w:r>
        <w:t xml:space="preserve">Biases in authorship practices may also result in our underestimation of the composition of minoritized scientists within the field.</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t>
      </w:r>
      <w:r>
        <w:t xml:space="preserve">women are underrepresented among such authors.</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p>
    <w:p>
      <w:pPr>
        <w:pStyle w:val="BodyText"/>
      </w:pPr>
      <w:r>
        <w:t xml:space="preserve">We acknowledged that our supervised learning approaches are neither error free nor bias free.</w:t>
      </w:r>
      <w:r>
        <w:t xml:space="preserve"> </w:t>
      </w:r>
      <w:r>
        <w:t xml:space="preserve">By integrating different methods and preserving uncertainty by analyzing prediction probabilities rather than applying a hard assignment for each prediction, we hope to alleviate these biases and discover insightful findings that correctly reflect the current representation diversity at conferences.</w:t>
      </w:r>
      <w:r>
        <w:t xml:space="preserve"> </w:t>
      </w:r>
      <w:r>
        <w:t xml:space="preserve">Because of the bias in citation practices, potentially overestimated number of US-affiliated authors, ambiguity in geographic origins of Hispanic names, our estimation would render a conservative one.</w:t>
      </w:r>
      <w:r>
        <w:t xml:space="preserve"> </w:t>
      </w:r>
      <w:r>
        <w:t xml:space="preserve">In other words, it is likely that the actual underrepresentation of East Asian honorees and overrepresentation of US-affiliated honorees is more severe, and there can be an underrepresentation of women and other minoritized scientists if the estimates of the proportions of these scientists in the field were more accurate.</w:t>
      </w:r>
    </w:p>
    <w:p>
      <w:pPr>
        <w:pStyle w:val="BodyText"/>
      </w:pPr>
      <w:r>
        <w:t xml:space="preserve">Focusing on an international society and meetings, we measured honor and authorship rates worldwide.</w:t>
      </w:r>
      <w:r>
        <w:t xml:space="preserve"> </w:t>
      </w:r>
      <w:r>
        <w:t xml:space="preserve">In this setting, we observe disparities by name groups.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p>
    <w:p>
      <w:pPr>
        <w:pStyle w:val="BodyText"/>
      </w:pPr>
      <w:r>
        <w:t xml:space="preserve">An important questions to ask when measuring representation is what the right level of representation is.</w:t>
      </w:r>
      <w:r>
        <w:t xml:space="preserve"> </w:t>
      </w:r>
      <w:r>
        <w:t xml:space="preserve">We suggest that considering equity may be more appropriate than strictly diversity.</w:t>
      </w:r>
      <w:r>
        <w:t xml:space="preserve"> </w:t>
      </w:r>
      <w:r>
        <w:t xml:space="preserve">For example, we found similar representation of women between authors and honorees, which suggests honoree diversity is similar to that of authors.</w:t>
      </w:r>
      <w:r>
        <w:t xml:space="preserve"> </w:t>
      </w:r>
      <w:r>
        <w:t xml:space="preserve">However, if fewer women are in the field because of systemic factors that inhibit their participation, we would not have reached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 due to these systemic inequalities that obstruct women’s progress in science.</w:t>
      </w:r>
    </w:p>
    <w:p>
      <w:pPr>
        <w:pStyle w:val="BodyText"/>
      </w:pPr>
      <w:r>
        <w:t xml:space="preserve">Additionally, we found that honorees include significantly fewer people of color than the field as a whole, and Asian scientists are dramatically underrepresented among honorees.</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4" w:name="materials-and-methods"/>
      <w:r>
        <w:t xml:space="preserve">Materials and Methods</w:t>
      </w:r>
      <w:bookmarkEnd w:id="74"/>
    </w:p>
    <w:p>
      <w:pPr>
        <w:pStyle w:val="Heading3"/>
      </w:pPr>
      <w:bookmarkStart w:id="75" w:name="honoree-curation"/>
      <w:r>
        <w:t xml:space="preserve">Honoree Curation</w:t>
      </w:r>
      <w:bookmarkEnd w:id="75"/>
    </w:p>
    <w:p>
      <w:pPr>
        <w:pStyle w:val="FirstParagraph"/>
      </w:pPr>
      <w:r>
        <w:t xml:space="preserve">From</w:t>
      </w:r>
      <w:r>
        <w:t xml:space="preserve"> </w:t>
      </w:r>
      <w:hyperlink r:id="rId76">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7">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8">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79" w:name="name-processing"/>
      <w:r>
        <w:t xml:space="preserve">Name processing</w:t>
      </w:r>
      <w:bookmarkEnd w:id="79"/>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80">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1" w:name="last-author-extraction"/>
      <w:r>
        <w:t xml:space="preserve">Last author extraction</w:t>
      </w:r>
      <w:bookmarkEnd w:id="81"/>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2">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3">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4">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r>
        <w:t xml:space="preserve"> </w:t>
      </w:r>
      <w:r>
        <w:t xml:space="preserve">Under the rationale that authors of more impactful articles have higher chance of being recognized, we used the PubMed Central citation count as a relative estimate of an article’s impact to weigh each author’s prediction probability (please see the Statistical Analysis subsection).</w:t>
      </w:r>
    </w:p>
    <w:p>
      <w:pPr>
        <w:pStyle w:val="Heading3"/>
      </w:pPr>
      <w:bookmarkStart w:id="85" w:name="countries-of-affiliations"/>
      <w:r>
        <w:t xml:space="preserve">Countries of Affiliations</w:t>
      </w:r>
      <w:bookmarkEnd w:id="85"/>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6">
        <w:r>
          <w:rPr>
            <w:rStyle w:val="Hyperlink"/>
          </w:rPr>
          <w:t xml:space="preserve">geotext</w:t>
        </w:r>
      </w:hyperlink>
      <w:r>
        <w:t xml:space="preserve"> </w:t>
      </w:r>
      <w:r>
        <w:t xml:space="preserve">and</w:t>
      </w:r>
      <w:r>
        <w:t xml:space="preserve"> </w:t>
      </w:r>
      <w:hyperlink r:id="rId87">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8">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9">
        <w:r>
          <w:rPr>
            <w:rStyle w:val="Hyperlink"/>
          </w:rPr>
          <w:t xml:space="preserve">notebook</w:t>
        </w:r>
      </w:hyperlink>
      <w:r>
        <w:t xml:space="preserve"> </w:t>
      </w:r>
      <w:r>
        <w:t xml:space="preserve">and</w:t>
      </w:r>
      <w:r>
        <w:t xml:space="preserve"> </w:t>
      </w:r>
      <w:hyperlink r:id="rId90">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1">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2" w:name="estimation-of-gender"/>
      <w:r>
        <w:t xml:space="preserve">Estimation of Gender</w:t>
      </w:r>
      <w:bookmarkEnd w:id="92"/>
    </w:p>
    <w:p>
      <w:pPr>
        <w:pStyle w:val="FirstParagraph"/>
      </w:pPr>
      <w:r>
        <w:t xml:space="preserve">We predicted the gender of honorees and authors using the</w:t>
      </w:r>
      <w:r>
        <w:t xml:space="preserve"> </w:t>
      </w:r>
      <w:hyperlink r:id="rId93">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3">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4" w:name="estimation-of-name-origin-groups"/>
      <w:r>
        <w:t xml:space="preserve">Estimation of Name Origin Groups</w:t>
      </w:r>
      <w:bookmarkEnd w:id="94"/>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5">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6">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7">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8">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100"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ac43b098a2a994cbe3788bf7a19f541fc533b3de/figs/2020-01-31_groupings.png" id="0" name="Picture"/>
                    <pic:cNvPicPr>
                      <a:picLocks noChangeArrowheads="1" noChangeAspect="1"/>
                    </pic:cNvPicPr>
                  </pic:nvPicPr>
                  <pic:blipFill>
                    <a:blip r:embed="rId99"/>
                    <a:stretch>
                      <a:fillRect/>
                    </a:stretch>
                  </pic:blipFill>
                  <pic:spPr bwMode="auto">
                    <a:xfrm>
                      <a:off x="0" y="0"/>
                      <a:ext cx="5943600" cy="3549650"/>
                    </a:xfrm>
                    <a:prstGeom prst="rect">
                      <a:avLst/>
                    </a:prstGeom>
                    <a:noFill/>
                    <a:ln w="9525">
                      <a:noFill/>
                      <a:headEnd/>
                      <a:tailEnd/>
                    </a:ln>
                  </pic:spPr>
                </pic:pic>
              </a:graphicData>
            </a:graphic>
          </wp:inline>
        </w:drawing>
      </w:r>
      <w:bookmarkEnd w:id="100"/>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1">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2" w:name="X87a9ac17ff9613bcd64fd133709b70ed689af25"/>
      <w:r>
        <w:t xml:space="preserve">Predicting Name Origin Groups with LSTM Neural Networks and Wikipedia</w:t>
      </w:r>
      <w:bookmarkEnd w:id="102"/>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3">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4">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6"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ac43b098a2a994cbe3788bf7a19f541fc533b3de/figs/fig_3.png" id="0" name="Picture"/>
                    <pic:cNvPicPr>
                      <a:picLocks noChangeArrowheads="1" noChangeAspect="1"/>
                    </pic:cNvPicPr>
                  </pic:nvPicPr>
                  <pic:blipFill>
                    <a:blip r:embed="rId105"/>
                    <a:stretch>
                      <a:fillRect/>
                    </a:stretch>
                  </pic:blipFill>
                  <pic:spPr bwMode="auto">
                    <a:xfrm>
                      <a:off x="0" y="0"/>
                      <a:ext cx="5943600" cy="2377440"/>
                    </a:xfrm>
                    <a:prstGeom prst="rect">
                      <a:avLst/>
                    </a:prstGeom>
                    <a:noFill/>
                    <a:ln w="9525">
                      <a:noFill/>
                      <a:headEnd/>
                      <a:tailEnd/>
                    </a:ln>
                  </pic:spPr>
                </pic:pic>
              </a:graphicData>
            </a:graphic>
          </wp:inline>
        </w:drawing>
      </w:r>
      <w:bookmarkEnd w:id="106"/>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7" w:name="affiliation-analysis"/>
      <w:r>
        <w:t xml:space="preserve">Affiliation Analysis</w:t>
      </w:r>
      <w:bookmarkEnd w:id="107"/>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8" w:name="statistical-analysis"/>
      <w:r>
        <w:t xml:space="preserve">Statistical Analysis</w:t>
      </w:r>
      <w:bookmarkEnd w:id="108"/>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r>
          <m:t>′</m:t>
        </m:r>
      </m:oMath>
      <w:r>
        <w:t xml:space="preserve"> </w:t>
      </w:r>
      <w:r>
        <w:t xml:space="preserve">is the adjusted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p>
    <w:p>
      <w:pPr>
        <w:pStyle w:val="BodyText"/>
      </w:pPr>
      <w:r>
        <w:t xml:space="preserve">To obtain</w:t>
      </w:r>
      <w:r>
        <w:t xml:space="preserve"> </w:t>
      </w:r>
      <m:oMath>
        <m:r>
          <m:t>p</m:t>
        </m:r>
        <m:r>
          <m:t>r</m:t>
        </m:r>
        <m:r>
          <m:t>o</m:t>
        </m:r>
        <m:r>
          <m:t>b</m:t>
        </m:r>
        <m:r>
          <m:t>′</m:t>
        </m:r>
      </m:oMath>
      <w:r>
        <w:t xml:space="preserve"> </w:t>
      </w:r>
      <w:r>
        <w:t xml:space="preserve">for each last author of an article, we adjusted the raw probability</w:t>
      </w:r>
      <w:r>
        <w:t xml:space="preserve"> </w:t>
      </w:r>
      <m:oMath>
        <m:r>
          <m:t>p</m:t>
        </m:r>
        <m:r>
          <m:t>r</m:t>
        </m:r>
        <m:r>
          <m:t>o</m:t>
        </m:r>
        <m:r>
          <m:t>b</m:t>
        </m:r>
      </m:oMath>
      <w:r>
        <w:t xml:space="preserve"> </w:t>
      </w:r>
      <w:r>
        <w:t xml:space="preserve">by the article’s citation count compared to other articles of the same year.</w:t>
      </w:r>
      <w:r>
        <w:t xml:space="preserve"> </w:t>
      </w:r>
      <w:r>
        <w:t xml:space="preserve">For example, for an article published in 2010, its author has an adjusted probability of being male:</w:t>
      </w:r>
    </w:p>
    <w:p>
      <w:pPr>
        <w:pStyle w:val="BodyText"/>
      </w:pPr>
      <m:oMathPara>
        <m:oMathParaPr>
          <m:jc m:val="center"/>
        </m:oMathParaPr>
        <m:oMath>
          <m:r>
            <m:t>p</m:t>
          </m:r>
          <m:r>
            <m:t>r</m:t>
          </m:r>
          <m:r>
            <m:t>o</m:t>
          </m:r>
          <m:sSub>
            <m:e>
              <m:r>
                <m:t>b</m:t>
              </m:r>
            </m:e>
            <m:sub>
              <m:r>
                <m:t>m</m:t>
              </m:r>
              <m:r>
                <m:t>a</m:t>
              </m:r>
              <m:r>
                <m:t>l</m:t>
              </m:r>
              <m:r>
                <m:t>e</m:t>
              </m:r>
            </m:sub>
          </m:sSub>
          <m:r>
            <m:t>′</m:t>
          </m:r>
          <m:r>
            <m:t>=</m:t>
          </m:r>
          <m:r>
            <m:t>p</m:t>
          </m:r>
          <m:r>
            <m:t>r</m:t>
          </m:r>
          <m:r>
            <m:t>o</m:t>
          </m:r>
          <m:sSub>
            <m:e>
              <m:r>
                <m:t>b</m:t>
              </m:r>
            </m:e>
            <m:sub>
              <m:r>
                <m:t>m</m:t>
              </m:r>
              <m:r>
                <m:t>a</m:t>
              </m:r>
              <m:r>
                <m:t>l</m:t>
              </m:r>
              <m:r>
                <m:t>e</m:t>
              </m:r>
            </m:sub>
          </m:sSub>
          <m:r>
            <m:t>×</m:t>
          </m:r>
          <m:f>
            <m:fPr>
              <m:type m:val="bar"/>
            </m:fPr>
            <m:num>
              <m:rad>
                <m:radPr>
                  <m:degHide m:val="1"/>
                </m:radPr>
                <m:deg/>
                <m:e>
                  <m:r>
                    <m:t>c</m:t>
                  </m:r>
                  <m:r>
                    <m:t>+</m:t>
                  </m:r>
                  <m:r>
                    <m:t>1</m:t>
                  </m:r>
                </m:e>
              </m:rad>
            </m:num>
            <m:den>
              <m:r>
                <m:t>1</m:t>
              </m:r>
              <m:r>
                <m:t>/</m:t>
              </m:r>
              <m:r>
                <m:t>n</m:t>
              </m:r>
              <m:nary>
                <m:naryPr>
                  <m:chr m:val="∑"/>
                  <m:limLoc m:val="undOvr"/>
                  <m:subHide m:val="0"/>
                  <m:supHide m:val="1"/>
                </m:naryPr>
                <m:sub>
                  <m:r>
                    <m:t>i</m:t>
                  </m:r>
                </m:sub>
                <m:sup>
                  <m:r>
                    <m:t>​</m:t>
                  </m:r>
                </m:sup>
                <m:e>
                  <m:rad>
                    <m:radPr>
                      <m:degHide m:val="1"/>
                    </m:radPr>
                    <m:deg/>
                    <m:e>
                      <m:sSub>
                        <m:e>
                          <m:r>
                            <m:t>c</m:t>
                          </m:r>
                        </m:e>
                        <m:sub>
                          <m:r>
                            <m:t>i</m:t>
                          </m:r>
                        </m:sub>
                      </m:sSub>
                      <m:r>
                        <m:t>+</m:t>
                      </m:r>
                      <m:r>
                        <m:t>1</m:t>
                      </m:r>
                    </m:e>
                  </m:rad>
                </m:e>
              </m:nary>
            </m:den>
          </m:f>
          <m:r>
            <m:t>,</m:t>
          </m:r>
        </m:oMath>
      </m:oMathPara>
    </w:p>
    <w:p>
      <w:pPr>
        <w:pStyle w:val="FirstParagraph"/>
      </w:pPr>
      <w:r>
        <w:t xml:space="preserve">where</w:t>
      </w:r>
      <w:r>
        <w:t xml:space="preserve"> </w:t>
      </w:r>
      <m:oMath>
        <m:r>
          <m:t>c</m:t>
        </m:r>
      </m:oMath>
      <w:r>
        <w:t xml:space="preserve"> </w:t>
      </w:r>
      <w:r>
        <w:t xml:space="preserve">is the number of times that article has been cited,</w:t>
      </w:r>
      <w:r>
        <w:t xml:space="preserve"> </w:t>
      </w:r>
      <m:oMath>
        <m:sSub>
          <m:e>
            <m:r>
              <m:t>c</m:t>
            </m:r>
          </m:e>
          <m:sub>
            <m:r>
              <m:t>i</m:t>
            </m:r>
          </m:sub>
        </m:sSub>
      </m:oMath>
      <w:r>
        <w:t xml:space="preserve"> </w:t>
      </w:r>
      <w:r>
        <w:t xml:space="preserve">is the number of times article</w:t>
      </w:r>
      <w:r>
        <w:t xml:space="preserve"> </w:t>
      </w:r>
      <m:oMath>
        <m:r>
          <m:t>i</m:t>
        </m:r>
      </m:oMath>
      <w:r>
        <w:t xml:space="preserve"> </w:t>
      </w:r>
      <w:r>
        <w:t xml:space="preserve">in 2010 has been cited, and</w:t>
      </w:r>
      <w:r>
        <w:t xml:space="preserve"> </w:t>
      </w:r>
      <m:oMath>
        <m:r>
          <m:t>n</m:t>
        </m:r>
      </m:oMath>
      <w:r>
        <w:t xml:space="preserve"> </w:t>
      </w:r>
      <w:r>
        <w:t xml:space="preserve">is the total number of articles published in 2010.</w:t>
      </w:r>
      <w:r>
        <w:t xml:space="preserve"> </w:t>
      </w:r>
      <w:r>
        <w:t xml:space="preserve">This weight is similar to the article’s normalized citation score by year</w:t>
      </w:r>
      <w:r>
        <w:t xml:space="preserve"> </w:t>
      </w:r>
      <w:r>
        <w:t xml:space="preserve">[</w:t>
      </w:r>
      <w:hyperlink w:anchor="ref-ns4SjEPl">
        <w:r>
          <w:rPr>
            <w:rStyle w:val="Hyperlink"/>
          </w:rPr>
          <w:t xml:space="preserve">37</w:t>
        </w:r>
      </w:hyperlink>
      <w:r>
        <w:t xml:space="preserve">,</w:t>
      </w:r>
      <w:hyperlink w:anchor="ref-caJYE73c">
        <w:r>
          <w:rPr>
            <w:rStyle w:val="Hyperlink"/>
          </w:rPr>
          <w:t xml:space="preserve">38</w:t>
        </w:r>
      </w:hyperlink>
      <w:r>
        <w:t xml:space="preserve">]</w:t>
      </w:r>
      <w:r>
        <w:t xml:space="preserve">, assuming that all the articles belong in one field (i.e., computational biology).</w:t>
      </w:r>
      <w:r>
        <w:t xml:space="preserve"> </w:t>
      </w:r>
      <w:r>
        <w:t xml:space="preserve">We applied the square root transformation to account for the skewed distribution of citation counts and the addition of 1 to avoid dropping articles with no citation.</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adjusted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adjusted probabilities of authorships with East Asian name origin is the estimate for the proportion of citation weighted authorships with East Asian names.</w:t>
      </w:r>
    </w:p>
    <w:p>
      <w:pPr>
        <w:pStyle w:val="Heading2"/>
      </w:pPr>
      <w:bookmarkStart w:id="109" w:name="data-and-resource-availability"/>
      <w:r>
        <w:t xml:space="preserve">Data and Resource Availability</w:t>
      </w:r>
      <w:bookmarkEnd w:id="109"/>
    </w:p>
    <w:p>
      <w:pPr>
        <w:pStyle w:val="FirstParagraph"/>
      </w:pPr>
      <w:r>
        <w:t xml:space="preserve">This manuscript was written</w:t>
      </w:r>
      <w:r>
        <w:t xml:space="preserve"> </w:t>
      </w:r>
      <w:hyperlink r:id="rId110">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39</w:t>
        </w:r>
      </w:hyperlink>
      <w:r>
        <w:t xml:space="preserve">]</w:t>
      </w:r>
      <w:r>
        <w:t xml:space="preserve">.</w:t>
      </w:r>
      <w:r>
        <w:t xml:space="preserve"> </w:t>
      </w:r>
      <w:r>
        <w:t xml:space="preserve">The Manubot HTML version is available under a Creative Commons Attribution (CC BY 4.0) License at</w:t>
      </w:r>
      <w:r>
        <w:t xml:space="preserve"> </w:t>
      </w:r>
      <w:hyperlink r:id="rId58">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1">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2">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3">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4">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5" w:name="references"/>
      <w:r>
        <w:t xml:space="preserve">References</w:t>
      </w:r>
      <w:bookmarkEnd w:id="115"/>
    </w:p>
    <w:bookmarkStart w:id="260"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(2014-01-07)</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7"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4">
        <w:r>
          <w:rPr>
            <w:rStyle w:val="Hyperlink"/>
          </w:rPr>
          <w:t xml:space="preserve">https://doi.org/gc6xqv</w:t>
        </w:r>
      </w:hyperlink>
      <w:r>
        <w:t xml:space="preserve"> </w:t>
      </w:r>
      <w:r>
        <w:br/>
      </w:r>
      <w:r>
        <w:t xml:space="preserve">DOI:</w:t>
      </w:r>
      <w:r>
        <w:t xml:space="preserve"> </w:t>
      </w:r>
      <w:hyperlink r:id="rId165">
        <w:r>
          <w:rPr>
            <w:rStyle w:val="Hyperlink"/>
          </w:rPr>
          <w:t xml:space="preserve">10.1177/0306312716650046</w:t>
        </w:r>
      </w:hyperlink>
      <w:r>
        <w:t xml:space="preserve"> </w:t>
      </w:r>
      <w:r>
        <w:t xml:space="preserve">· PMID:</w:t>
      </w:r>
      <w:r>
        <w:t xml:space="preserve"> </w:t>
      </w:r>
      <w:hyperlink r:id="rId166">
        <w:r>
          <w:rPr>
            <w:rStyle w:val="Hyperlink"/>
          </w:rPr>
          <w:t xml:space="preserve">28948891</w:t>
        </w:r>
      </w:hyperlink>
    </w:p>
    <w:bookmarkEnd w:id="167"/>
    <w:bookmarkStart w:id="170"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8">
        <w:r>
          <w:rPr>
            <w:rStyle w:val="Hyperlink"/>
          </w:rPr>
          <w:t xml:space="preserve">https://arxiv.org/abs/2001.01002</w:t>
        </w:r>
      </w:hyperlink>
      <w:r>
        <w:t xml:space="preserve"> </w:t>
      </w:r>
      <w:r>
        <w:br/>
      </w:r>
      <w:r>
        <w:t xml:space="preserve">DOI:</w:t>
      </w:r>
      <w:r>
        <w:t xml:space="preserve"> </w:t>
      </w:r>
      <w:hyperlink r:id="rId169">
        <w:r>
          <w:rPr>
            <w:rStyle w:val="Hyperlink"/>
          </w:rPr>
          <w:t xml:space="preserve">10.1038/s41593-020-0658-y</w:t>
        </w:r>
      </w:hyperlink>
    </w:p>
    <w:bookmarkEnd w:id="170"/>
    <w:bookmarkStart w:id="175"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1">
        <w:r>
          <w:rPr>
            <w:rStyle w:val="Hyperlink"/>
          </w:rPr>
          <w:t xml:space="preserve">https://doi.org/gfwjjb</w:t>
        </w:r>
      </w:hyperlink>
      <w:r>
        <w:t xml:space="preserve"> </w:t>
      </w:r>
      <w:r>
        <w:br/>
      </w:r>
      <w:r>
        <w:t xml:space="preserve">DOI:</w:t>
      </w:r>
      <w:r>
        <w:t xml:space="preserve"> </w:t>
      </w:r>
      <w:hyperlink r:id="rId172">
        <w:r>
          <w:rPr>
            <w:rStyle w:val="Hyperlink"/>
          </w:rPr>
          <w:t xml:space="preserve">10.1002/ece3.4993</w:t>
        </w:r>
      </w:hyperlink>
      <w:r>
        <w:t xml:space="preserve"> </w:t>
      </w:r>
      <w:r>
        <w:t xml:space="preserve">· PMID:</w:t>
      </w:r>
      <w:r>
        <w:t xml:space="preserve"> </w:t>
      </w:r>
      <w:hyperlink r:id="rId173">
        <w:r>
          <w:rPr>
            <w:rStyle w:val="Hyperlink"/>
          </w:rPr>
          <w:t xml:space="preserve">30962913</w:t>
        </w:r>
      </w:hyperlink>
      <w:r>
        <w:t xml:space="preserve"> </w:t>
      </w:r>
      <w:r>
        <w:t xml:space="preserve">· PMCID:</w:t>
      </w:r>
      <w:r>
        <w:t xml:space="preserve"> </w:t>
      </w:r>
      <w:hyperlink r:id="rId174">
        <w:r>
          <w:rPr>
            <w:rStyle w:val="Hyperlink"/>
          </w:rPr>
          <w:t xml:space="preserve">PMC6434606</w:t>
        </w:r>
      </w:hyperlink>
    </w:p>
    <w:bookmarkEnd w:id="175"/>
    <w:bookmarkStart w:id="178"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6">
        <w:r>
          <w:rPr>
            <w:rStyle w:val="Hyperlink"/>
          </w:rPr>
          <w:t xml:space="preserve">https://doi.org/b8rn</w:t>
        </w:r>
      </w:hyperlink>
      <w:r>
        <w:t xml:space="preserve"> </w:t>
      </w:r>
      <w:r>
        <w:br/>
      </w:r>
      <w:r>
        <w:t xml:space="preserve">DOI:</w:t>
      </w:r>
      <w:r>
        <w:t xml:space="preserve"> </w:t>
      </w:r>
      <w:hyperlink r:id="rId177">
        <w:r>
          <w:rPr>
            <w:rStyle w:val="Hyperlink"/>
          </w:rPr>
          <w:t xml:space="preserve">10.1038/s41550-017-0141</w:t>
        </w:r>
      </w:hyperlink>
    </w:p>
    <w:bookmarkEnd w:id="178"/>
    <w:bookmarkStart w:id="181"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9">
        <w:r>
          <w:rPr>
            <w:rStyle w:val="Hyperlink"/>
          </w:rPr>
          <w:t xml:space="preserve">https://doi.org/cmh5</w:t>
        </w:r>
      </w:hyperlink>
      <w:r>
        <w:t xml:space="preserve"> </w:t>
      </w:r>
      <w:r>
        <w:br/>
      </w:r>
      <w:r>
        <w:t xml:space="preserve">DOI:</w:t>
      </w:r>
      <w:r>
        <w:t xml:space="preserve"> </w:t>
      </w:r>
      <w:hyperlink r:id="rId180">
        <w:r>
          <w:rPr>
            <w:rStyle w:val="Hyperlink"/>
          </w:rPr>
          <w:t xml:space="preserve">10.1101/275362</w:t>
        </w:r>
      </w:hyperlink>
    </w:p>
    <w:bookmarkEnd w:id="181"/>
    <w:bookmarkStart w:id="186"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2">
        <w:r>
          <w:rPr>
            <w:rStyle w:val="Hyperlink"/>
          </w:rPr>
          <w:t xml:space="preserve">https://doi.org/gdb9db</w:t>
        </w:r>
      </w:hyperlink>
      <w:r>
        <w:t xml:space="preserve"> </w:t>
      </w:r>
      <w:r>
        <w:br/>
      </w:r>
      <w:r>
        <w:t xml:space="preserve">DOI:</w:t>
      </w:r>
      <w:r>
        <w:t xml:space="preserve"> </w:t>
      </w:r>
      <w:hyperlink r:id="rId183">
        <w:r>
          <w:rPr>
            <w:rStyle w:val="Hyperlink"/>
          </w:rPr>
          <w:t xml:space="preserve">10.1371/journal.pbio.2004956</w:t>
        </w:r>
      </w:hyperlink>
      <w:r>
        <w:t xml:space="preserve"> </w:t>
      </w:r>
      <w:r>
        <w:t xml:space="preserve">· PMID:</w:t>
      </w:r>
      <w:r>
        <w:t xml:space="preserve"> </w:t>
      </w:r>
      <w:hyperlink r:id="rId184">
        <w:r>
          <w:rPr>
            <w:rStyle w:val="Hyperlink"/>
          </w:rPr>
          <w:t xml:space="preserve">29672508</w:t>
        </w:r>
      </w:hyperlink>
      <w:r>
        <w:t xml:space="preserve"> </w:t>
      </w:r>
      <w:r>
        <w:t xml:space="preserve">· PMCID:</w:t>
      </w:r>
      <w:r>
        <w:t xml:space="preserve"> </w:t>
      </w:r>
      <w:hyperlink r:id="rId185">
        <w:r>
          <w:rPr>
            <w:rStyle w:val="Hyperlink"/>
          </w:rPr>
          <w:t xml:space="preserve">PMC5908072</w:t>
        </w:r>
      </w:hyperlink>
    </w:p>
    <w:bookmarkEnd w:id="186"/>
    <w:bookmarkStart w:id="191"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7">
        <w:r>
          <w:rPr>
            <w:rStyle w:val="Hyperlink"/>
          </w:rPr>
          <w:t xml:space="preserve">https://doi.org/gjg9k8</w:t>
        </w:r>
      </w:hyperlink>
      <w:r>
        <w:t xml:space="preserve"> </w:t>
      </w:r>
      <w:r>
        <w:br/>
      </w:r>
      <w:r>
        <w:t xml:space="preserve">DOI:</w:t>
      </w:r>
      <w:r>
        <w:t xml:space="preserve"> </w:t>
      </w:r>
      <w:hyperlink r:id="rId188">
        <w:r>
          <w:rPr>
            <w:rStyle w:val="Hyperlink"/>
          </w:rPr>
          <w:t xml:space="preserve">10.1257/pandp.20181111</w:t>
        </w:r>
      </w:hyperlink>
      <w:r>
        <w:t xml:space="preserve"> </w:t>
      </w:r>
      <w:r>
        <w:t xml:space="preserve">· PMID:</w:t>
      </w:r>
      <w:r>
        <w:t xml:space="preserve"> </w:t>
      </w:r>
      <w:hyperlink r:id="rId189">
        <w:r>
          <w:rPr>
            <w:rStyle w:val="Hyperlink"/>
          </w:rPr>
          <w:t xml:space="preserve">30197432</w:t>
        </w:r>
      </w:hyperlink>
      <w:r>
        <w:t xml:space="preserve"> </w:t>
      </w:r>
      <w:r>
        <w:t xml:space="preserve">· PMCID:</w:t>
      </w:r>
      <w:r>
        <w:t xml:space="preserve"> </w:t>
      </w:r>
      <w:hyperlink r:id="rId190">
        <w:r>
          <w:rPr>
            <w:rStyle w:val="Hyperlink"/>
          </w:rPr>
          <w:t xml:space="preserve">PMC6124503</w:t>
        </w:r>
      </w:hyperlink>
    </w:p>
    <w:bookmarkEnd w:id="191"/>
    <w:bookmarkStart w:id="194"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2">
        <w:r>
          <w:rPr>
            <w:rStyle w:val="Hyperlink"/>
          </w:rPr>
          <w:t xml:space="preserve">https://doi.org/gffmpv</w:t>
        </w:r>
      </w:hyperlink>
      <w:r>
        <w:t xml:space="preserve"> </w:t>
      </w:r>
      <w:r>
        <w:br/>
      </w:r>
      <w:r>
        <w:t xml:space="preserve">DOI:</w:t>
      </w:r>
      <w:r>
        <w:t xml:space="preserve"> </w:t>
      </w:r>
      <w:hyperlink r:id="rId193">
        <w:r>
          <w:rPr>
            <w:rStyle w:val="Hyperlink"/>
          </w:rPr>
          <w:t xml:space="preserve">10.1007/s11192-012-0893-4</w:t>
        </w:r>
      </w:hyperlink>
    </w:p>
    <w:bookmarkEnd w:id="194"/>
    <w:bookmarkStart w:id="197"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5">
        <w:r>
          <w:rPr>
            <w:rStyle w:val="Hyperlink"/>
          </w:rPr>
          <w:t xml:space="preserve">https://www.ncbi.nlm.nih.gov/pubmed/24350369</w:t>
        </w:r>
      </w:hyperlink>
      <w:r>
        <w:t xml:space="preserve"> </w:t>
      </w:r>
      <w:r>
        <w:br/>
      </w:r>
      <w:r>
        <w:t xml:space="preserve">DOI:</w:t>
      </w:r>
      <w:r>
        <w:t xml:space="preserve"> </w:t>
      </w:r>
      <w:hyperlink r:id="rId196">
        <w:r>
          <w:rPr>
            <w:rStyle w:val="Hyperlink"/>
          </w:rPr>
          <w:t xml:space="preserve">10.1038/504211a</w:t>
        </w:r>
      </w:hyperlink>
      <w:r>
        <w:t xml:space="preserve"> </w:t>
      </w:r>
      <w:r>
        <w:t xml:space="preserve">· PMID:</w:t>
      </w:r>
      <w:r>
        <w:t xml:space="preserve"> </w:t>
      </w:r>
      <w:hyperlink r:id="rId195">
        <w:r>
          <w:rPr>
            <w:rStyle w:val="Hyperlink"/>
          </w:rPr>
          <w:t xml:space="preserve">24350369</w:t>
        </w:r>
      </w:hyperlink>
    </w:p>
    <w:bookmarkEnd w:id="197"/>
    <w:bookmarkStart w:id="201"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8">
        <w:r>
          <w:rPr>
            <w:rStyle w:val="Hyperlink"/>
          </w:rPr>
          <w:t xml:space="preserve">https://doi.org/gf4jjz</w:t>
        </w:r>
      </w:hyperlink>
      <w:r>
        <w:t xml:space="preserve"> </w:t>
      </w:r>
      <w:r>
        <w:br/>
      </w:r>
      <w:r>
        <w:t xml:space="preserve">DOI:</w:t>
      </w:r>
      <w:r>
        <w:t xml:space="preserve"> </w:t>
      </w:r>
      <w:hyperlink r:id="rId199">
        <w:r>
          <w:rPr>
            <w:rStyle w:val="Hyperlink"/>
          </w:rPr>
          <w:t xml:space="preserve">10.1038/541455a</w:t>
        </w:r>
      </w:hyperlink>
      <w:r>
        <w:t xml:space="preserve"> </w:t>
      </w:r>
      <w:r>
        <w:t xml:space="preserve">· PMID:</w:t>
      </w:r>
      <w:r>
        <w:t xml:space="preserve"> </w:t>
      </w:r>
      <w:hyperlink r:id="rId200">
        <w:r>
          <w:rPr>
            <w:rStyle w:val="Hyperlink"/>
          </w:rPr>
          <w:t xml:space="preserve">28128272</w:t>
        </w:r>
      </w:hyperlink>
    </w:p>
    <w:bookmarkEnd w:id="201"/>
    <w:bookmarkStart w:id="206"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2">
        <w:r>
          <w:rPr>
            <w:rStyle w:val="Hyperlink"/>
          </w:rPr>
          <w:t xml:space="preserve">https://doi.org/dsrczk</w:t>
        </w:r>
      </w:hyperlink>
      <w:r>
        <w:t xml:space="preserve"> </w:t>
      </w:r>
      <w:r>
        <w:br/>
      </w:r>
      <w:r>
        <w:t xml:space="preserve">DOI:</w:t>
      </w:r>
      <w:r>
        <w:t xml:space="preserve"> </w:t>
      </w:r>
      <w:hyperlink r:id="rId203">
        <w:r>
          <w:rPr>
            <w:rStyle w:val="Hyperlink"/>
          </w:rPr>
          <w:t xml:space="preserve">10.1073/pnas.1014871108</w:t>
        </w:r>
      </w:hyperlink>
      <w:r>
        <w:t xml:space="preserve"> </w:t>
      </w:r>
      <w:r>
        <w:t xml:space="preserve">· PMID:</w:t>
      </w:r>
      <w:r>
        <w:t xml:space="preserve"> </w:t>
      </w:r>
      <w:hyperlink r:id="rId204">
        <w:r>
          <w:rPr>
            <w:rStyle w:val="Hyperlink"/>
          </w:rPr>
          <w:t xml:space="preserve">21300892</w:t>
        </w:r>
      </w:hyperlink>
      <w:r>
        <w:t xml:space="preserve"> </w:t>
      </w:r>
      <w:r>
        <w:t xml:space="preserve">· PMCID:</w:t>
      </w:r>
      <w:r>
        <w:t xml:space="preserve"> </w:t>
      </w:r>
      <w:hyperlink r:id="rId205">
        <w:r>
          <w:rPr>
            <w:rStyle w:val="Hyperlink"/>
          </w:rPr>
          <w:t xml:space="preserve">PMC3044353</w:t>
        </w:r>
      </w:hyperlink>
    </w:p>
    <w:bookmarkEnd w:id="206"/>
    <w:bookmarkStart w:id="211"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7">
        <w:r>
          <w:rPr>
            <w:rStyle w:val="Hyperlink"/>
          </w:rPr>
          <w:t xml:space="preserve">https://doi.org/ggk89f</w:t>
        </w:r>
      </w:hyperlink>
      <w:r>
        <w:t xml:space="preserve"> </w:t>
      </w:r>
      <w:r>
        <w:br/>
      </w:r>
      <w:r>
        <w:t xml:space="preserve">DOI:</w:t>
      </w:r>
      <w:r>
        <w:t xml:space="preserve"> </w:t>
      </w:r>
      <w:hyperlink r:id="rId208">
        <w:r>
          <w:rPr>
            <w:rStyle w:val="Hyperlink"/>
          </w:rPr>
          <w:t xml:space="preserve">10.1073/pnas.1914221117</w:t>
        </w:r>
      </w:hyperlink>
      <w:r>
        <w:t xml:space="preserve"> </w:t>
      </w:r>
      <w:r>
        <w:t xml:space="preserve">· PMID:</w:t>
      </w:r>
      <w:r>
        <w:t xml:space="preserve"> </w:t>
      </w:r>
      <w:hyperlink r:id="rId209">
        <w:r>
          <w:rPr>
            <w:rStyle w:val="Hyperlink"/>
          </w:rPr>
          <w:t xml:space="preserve">32071248</w:t>
        </w:r>
      </w:hyperlink>
      <w:r>
        <w:t xml:space="preserve"> </w:t>
      </w:r>
      <w:r>
        <w:t xml:space="preserve">· PMCID:</w:t>
      </w:r>
      <w:r>
        <w:t xml:space="preserve"> </w:t>
      </w:r>
      <w:hyperlink r:id="rId210">
        <w:r>
          <w:rPr>
            <w:rStyle w:val="Hyperlink"/>
          </w:rPr>
          <w:t xml:space="preserve">PMC7060730</w:t>
        </w:r>
      </w:hyperlink>
    </w:p>
    <w:bookmarkEnd w:id="211"/>
    <w:bookmarkStart w:id="214"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2">
        <w:r>
          <w:rPr>
            <w:rStyle w:val="Hyperlink"/>
          </w:rPr>
          <w:t xml:space="preserve">https://doi.org/gghp9d</w:t>
        </w:r>
      </w:hyperlink>
      <w:r>
        <w:t xml:space="preserve"> </w:t>
      </w:r>
      <w:r>
        <w:br/>
      </w:r>
      <w:r>
        <w:t xml:space="preserve">DOI:</w:t>
      </w:r>
      <w:r>
        <w:t xml:space="preserve"> </w:t>
      </w:r>
      <w:hyperlink r:id="rId213">
        <w:r>
          <w:rPr>
            <w:rStyle w:val="Hyperlink"/>
          </w:rPr>
          <w:t xml:space="preserve">10.1130/ges01659.1</w:t>
        </w:r>
      </w:hyperlink>
    </w:p>
    <w:bookmarkEnd w:id="214"/>
    <w:bookmarkStart w:id="217"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5">
        <w:r>
          <w:rPr>
            <w:rStyle w:val="Hyperlink"/>
          </w:rPr>
          <w:t xml:space="preserve">https://doi.org/gdz52z</w:t>
        </w:r>
      </w:hyperlink>
      <w:r>
        <w:t xml:space="preserve"> </w:t>
      </w:r>
      <w:r>
        <w:br/>
      </w:r>
      <w:r>
        <w:t xml:space="preserve">DOI:</w:t>
      </w:r>
      <w:r>
        <w:t xml:space="preserve"> </w:t>
      </w:r>
      <w:hyperlink r:id="rId216">
        <w:r>
          <w:rPr>
            <w:rStyle w:val="Hyperlink"/>
          </w:rPr>
          <w:t xml:space="preserve">10.1038/d41586-018-05947-8</w:t>
        </w:r>
      </w:hyperlink>
    </w:p>
    <w:bookmarkEnd w:id="217"/>
    <w:bookmarkStart w:id="220"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8">
        <w:r>
          <w:rPr>
            <w:rStyle w:val="Hyperlink"/>
          </w:rPr>
          <w:t xml:space="preserve">https://doi.org/gfwhcr</w:t>
        </w:r>
      </w:hyperlink>
      <w:r>
        <w:t xml:space="preserve"> </w:t>
      </w:r>
      <w:r>
        <w:br/>
      </w:r>
      <w:r>
        <w:t xml:space="preserve">DOI:</w:t>
      </w:r>
      <w:r>
        <w:t xml:space="preserve"> </w:t>
      </w:r>
      <w:hyperlink r:id="rId219">
        <w:r>
          <w:rPr>
            <w:rStyle w:val="Hyperlink"/>
          </w:rPr>
          <w:t xml:space="preserve">10.1038/d41586-019-00812-8</w:t>
        </w:r>
      </w:hyperlink>
    </w:p>
    <w:bookmarkEnd w:id="220"/>
    <w:bookmarkStart w:id="223"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1">
        <w:r>
          <w:rPr>
            <w:rStyle w:val="Hyperlink"/>
          </w:rPr>
          <w:t xml:space="preserve">https://doi.org/ddzr</w:t>
        </w:r>
      </w:hyperlink>
      <w:r>
        <w:t xml:space="preserve"> </w:t>
      </w:r>
      <w:r>
        <w:br/>
      </w:r>
      <w:r>
        <w:t xml:space="preserve">DOI:</w:t>
      </w:r>
      <w:r>
        <w:t xml:space="preserve"> </w:t>
      </w:r>
      <w:hyperlink r:id="rId222">
        <w:r>
          <w:rPr>
            <w:rStyle w:val="Hyperlink"/>
          </w:rPr>
          <w:t xml:space="preserve">10.1101/400515</w:t>
        </w:r>
      </w:hyperlink>
    </w:p>
    <w:bookmarkEnd w:id="223"/>
    <w:bookmarkStart w:id="226"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4">
        <w:r>
          <w:rPr>
            <w:rStyle w:val="Hyperlink"/>
          </w:rPr>
          <w:t xml:space="preserve">https://doi.org/gghp87</w:t>
        </w:r>
      </w:hyperlink>
      <w:r>
        <w:t xml:space="preserve"> </w:t>
      </w:r>
      <w:r>
        <w:br/>
      </w:r>
      <w:r>
        <w:t xml:space="preserve">DOI:</w:t>
      </w:r>
      <w:r>
        <w:t xml:space="preserve"> </w:t>
      </w:r>
      <w:hyperlink r:id="rId225">
        <w:r>
          <w:rPr>
            <w:rStyle w:val="Hyperlink"/>
          </w:rPr>
          <w:t xml:space="preserve">10.1007/978-3-319-31957-5</w:t>
        </w:r>
      </w:hyperlink>
    </w:p>
    <w:bookmarkEnd w:id="226"/>
    <w:bookmarkStart w:id="229"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7">
        <w:r>
          <w:rPr>
            <w:rStyle w:val="Hyperlink"/>
          </w:rPr>
          <w:t xml:space="preserve">https://doi.org/dvwjgg</w:t>
        </w:r>
      </w:hyperlink>
      <w:r>
        <w:t xml:space="preserve"> </w:t>
      </w:r>
      <w:r>
        <w:br/>
      </w:r>
      <w:r>
        <w:t xml:space="preserve">DOI:</w:t>
      </w:r>
      <w:r>
        <w:t xml:space="preserve"> </w:t>
      </w:r>
      <w:hyperlink r:id="rId228">
        <w:r>
          <w:rPr>
            <w:rStyle w:val="Hyperlink"/>
          </w:rPr>
          <w:t xml:space="preserve">10.1007/978-3-642-20036-6</w:t>
        </w:r>
      </w:hyperlink>
    </w:p>
    <w:bookmarkEnd w:id="229"/>
    <w:bookmarkStart w:id="232"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30">
        <w:r>
          <w:rPr>
            <w:rStyle w:val="Hyperlink"/>
          </w:rPr>
          <w:t xml:space="preserve">https://doi.org/gghwjh</w:t>
        </w:r>
      </w:hyperlink>
      <w:r>
        <w:t xml:space="preserve"> </w:t>
      </w:r>
      <w:r>
        <w:br/>
      </w:r>
      <w:r>
        <w:t xml:space="preserve">DOI:</w:t>
      </w:r>
      <w:r>
        <w:t xml:space="preserve"> </w:t>
      </w:r>
      <w:hyperlink r:id="rId231">
        <w:r>
          <w:rPr>
            <w:rStyle w:val="Hyperlink"/>
          </w:rPr>
          <w:t xml:space="preserve">10.1007/978-3-319-16706-0</w:t>
        </w:r>
      </w:hyperlink>
    </w:p>
    <w:bookmarkEnd w:id="232"/>
    <w:bookmarkStart w:id="235"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3">
        <w:r>
          <w:rPr>
            <w:rStyle w:val="Hyperlink"/>
          </w:rPr>
          <w:t xml:space="preserve">https://doi.org/ggpbn6</w:t>
        </w:r>
      </w:hyperlink>
      <w:r>
        <w:t xml:space="preserve"> </w:t>
      </w:r>
      <w:r>
        <w:br/>
      </w:r>
      <w:r>
        <w:t xml:space="preserve">DOI:</w:t>
      </w:r>
      <w:r>
        <w:t xml:space="preserve"> </w:t>
      </w:r>
      <w:hyperlink r:id="rId234">
        <w:r>
          <w:rPr>
            <w:rStyle w:val="Hyperlink"/>
          </w:rPr>
          <w:t xml:space="preserve">10.7717/peerj-cs.156</w:t>
        </w:r>
      </w:hyperlink>
    </w:p>
    <w:bookmarkEnd w:id="235"/>
    <w:bookmarkStart w:id="238"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6">
        <w:r>
          <w:rPr>
            <w:rStyle w:val="Hyperlink"/>
          </w:rPr>
          <w:t xml:space="preserve">https://doi.org/gf4zqx</w:t>
        </w:r>
      </w:hyperlink>
      <w:r>
        <w:t xml:space="preserve"> </w:t>
      </w:r>
      <w:r>
        <w:br/>
      </w:r>
      <w:r>
        <w:t xml:space="preserve">DOI:</w:t>
      </w:r>
      <w:r>
        <w:t xml:space="preserve"> </w:t>
      </w:r>
      <w:hyperlink r:id="rId237">
        <w:r>
          <w:rPr>
            <w:rStyle w:val="Hyperlink"/>
          </w:rPr>
          <w:t xml:space="preserve">10.32614/rj-2016-002</w:t>
        </w:r>
      </w:hyperlink>
    </w:p>
    <w:bookmarkEnd w:id="238"/>
    <w:bookmarkStart w:id="240"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39">
        <w:r>
          <w:rPr>
            <w:rStyle w:val="Hyperlink"/>
          </w:rPr>
          <w:t xml:space="preserve">https://arxiv.org/abs/1805.02109</w:t>
        </w:r>
      </w:hyperlink>
    </w:p>
    <w:bookmarkEnd w:id="240"/>
    <w:bookmarkStart w:id="243"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1">
        <w:r>
          <w:rPr>
            <w:rStyle w:val="Hyperlink"/>
          </w:rPr>
          <w:t xml:space="preserve">https://doi.org/fs3pr8</w:t>
        </w:r>
      </w:hyperlink>
      <w:r>
        <w:t xml:space="preserve"> </w:t>
      </w:r>
      <w:r>
        <w:br/>
      </w:r>
      <w:r>
        <w:t xml:space="preserve">DOI:</w:t>
      </w:r>
      <w:r>
        <w:t xml:space="preserve"> </w:t>
      </w:r>
      <w:hyperlink r:id="rId242">
        <w:r>
          <w:rPr>
            <w:rStyle w:val="Hyperlink"/>
          </w:rPr>
          <w:t xml:space="preserve">10.1145/1557019.1557032</w:t>
        </w:r>
      </w:hyperlink>
    </w:p>
    <w:bookmarkEnd w:id="243"/>
    <w:bookmarkStart w:id="246"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4">
        <w:r>
          <w:rPr>
            <w:rStyle w:val="Hyperlink"/>
          </w:rPr>
          <w:t xml:space="preserve">https://doi.org/ggjc78</w:t>
        </w:r>
      </w:hyperlink>
      <w:r>
        <w:t xml:space="preserve"> </w:t>
      </w:r>
      <w:r>
        <w:br/>
      </w:r>
      <w:r>
        <w:t xml:space="preserve">DOI:</w:t>
      </w:r>
      <w:r>
        <w:t xml:space="preserve"> </w:t>
      </w:r>
      <w:hyperlink r:id="rId245">
        <w:r>
          <w:rPr>
            <w:rStyle w:val="Hyperlink"/>
          </w:rPr>
          <w:t xml:space="preserve">10.1145/3132847.3133008</w:t>
        </w:r>
      </w:hyperlink>
    </w:p>
    <w:bookmarkEnd w:id="246"/>
    <w:bookmarkStart w:id="248"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7">
        <w:r>
          <w:rPr>
            <w:rStyle w:val="Hyperlink"/>
          </w:rPr>
          <w:t xml:space="preserve">9780849394447</w:t>
        </w:r>
      </w:hyperlink>
    </w:p>
    <w:bookmarkEnd w:id="248"/>
    <w:bookmarkStart w:id="251" w:name="ref-ns4SjEPl"/>
    <w:p>
      <w:pPr>
        <w:pStyle w:val="Bibliography"/>
      </w:pPr>
      <w:r>
        <w:t xml:space="preserve">37.</w:t>
      </w:r>
      <w:r>
        <w:t xml:space="preserve"> </w:t>
      </w:r>
      <w:r>
        <w:rPr>
          <w:b/>
        </w:rPr>
        <w:t xml:space="preserve">Towards a new crown indicator: Some theoretical considerations</w:t>
      </w:r>
      <w:r>
        <w:t xml:space="preserve"> </w:t>
      </w:r>
      <w:r>
        <w:br/>
      </w:r>
      <w:r>
        <w:t xml:space="preserve">Ludo Waltman, Nees Jan van Eck, Thed N. van Leeuwen, Martijn S. Visser, Anthony F. J. van Raan</w:t>
      </w:r>
      <w:r>
        <w:br/>
      </w:r>
      <w:r>
        <w:rPr>
          <w:i/>
        </w:rPr>
        <w:t xml:space="preserve">Journal of Informetrics</w:t>
      </w:r>
      <w:r>
        <w:t xml:space="preserve"> </w:t>
      </w:r>
      <w:r>
        <w:t xml:space="preserve">(2011-01)</w:t>
      </w:r>
      <w:r>
        <w:t xml:space="preserve"> </w:t>
      </w:r>
      <w:hyperlink r:id="rId249">
        <w:r>
          <w:rPr>
            <w:rStyle w:val="Hyperlink"/>
          </w:rPr>
          <w:t xml:space="preserve">https://doi.org/b6f3cd</w:t>
        </w:r>
      </w:hyperlink>
      <w:r>
        <w:t xml:space="preserve"> </w:t>
      </w:r>
      <w:r>
        <w:br/>
      </w:r>
      <w:r>
        <w:t xml:space="preserve">DOI:</w:t>
      </w:r>
      <w:r>
        <w:t xml:space="preserve"> </w:t>
      </w:r>
      <w:hyperlink r:id="rId250">
        <w:r>
          <w:rPr>
            <w:rStyle w:val="Hyperlink"/>
          </w:rPr>
          <w:t xml:space="preserve">10.1016/j.joi.2010.08.001</w:t>
        </w:r>
      </w:hyperlink>
    </w:p>
    <w:bookmarkEnd w:id="251"/>
    <w:bookmarkStart w:id="254" w:name="ref-caJYE73c"/>
    <w:p>
      <w:pPr>
        <w:pStyle w:val="Bibliography"/>
      </w:pPr>
      <w:r>
        <w:t xml:space="preserve">38.</w:t>
      </w:r>
      <w:r>
        <w:t xml:space="preserve"> </w:t>
      </w:r>
      <w:r>
        <w:rPr>
          <w:b/>
        </w:rPr>
        <w:t xml:space="preserve">Normalisation of citation impact in economics</w:t>
      </w:r>
      <w:r>
        <w:t xml:space="preserve"> </w:t>
      </w:r>
      <w:r>
        <w:br/>
      </w:r>
      <w:r>
        <w:t xml:space="preserve">Lutz Bornmann, Klaus Wohlrabe</w:t>
      </w:r>
      <w:r>
        <w:br/>
      </w:r>
      <w:r>
        <w:rPr>
          <w:i/>
        </w:rPr>
        <w:t xml:space="preserve">Scientometrics</w:t>
      </w:r>
      <w:r>
        <w:t xml:space="preserve"> </w:t>
      </w:r>
      <w:r>
        <w:t xml:space="preserve">(2019-06-14)</w:t>
      </w:r>
      <w:r>
        <w:t xml:space="preserve"> </w:t>
      </w:r>
      <w:hyperlink r:id="rId252">
        <w:r>
          <w:rPr>
            <w:rStyle w:val="Hyperlink"/>
          </w:rPr>
          <w:t xml:space="preserve">https://doi.org/ggfvgc</w:t>
        </w:r>
      </w:hyperlink>
      <w:r>
        <w:t xml:space="preserve"> </w:t>
      </w:r>
      <w:r>
        <w:br/>
      </w:r>
      <w:r>
        <w:t xml:space="preserve">DOI:</w:t>
      </w:r>
      <w:r>
        <w:t xml:space="preserve"> </w:t>
      </w:r>
      <w:hyperlink r:id="rId253">
        <w:r>
          <w:rPr>
            <w:rStyle w:val="Hyperlink"/>
          </w:rPr>
          <w:t xml:space="preserve">10.1007/s11192-019-03140-w</w:t>
        </w:r>
      </w:hyperlink>
    </w:p>
    <w:bookmarkEnd w:id="254"/>
    <w:bookmarkStart w:id="259" w:name="ref-YuJbg3zO"/>
    <w:p>
      <w:pPr>
        <w:pStyle w:val="Bibliography"/>
      </w:pPr>
      <w:r>
        <w:t xml:space="preserve">39.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5">
        <w:r>
          <w:rPr>
            <w:rStyle w:val="Hyperlink"/>
          </w:rPr>
          <w:t xml:space="preserve">https://doi.org/c7np</w:t>
        </w:r>
      </w:hyperlink>
      <w:r>
        <w:t xml:space="preserve"> </w:t>
      </w:r>
      <w:r>
        <w:br/>
      </w:r>
      <w:r>
        <w:t xml:space="preserve">DOI:</w:t>
      </w:r>
      <w:r>
        <w:t xml:space="preserve"> </w:t>
      </w:r>
      <w:hyperlink r:id="rId256">
        <w:r>
          <w:rPr>
            <w:rStyle w:val="Hyperlink"/>
          </w:rPr>
          <w:t xml:space="preserve">10.1371/journal.pcbi.1007128</w:t>
        </w:r>
      </w:hyperlink>
      <w:r>
        <w:t xml:space="preserve"> </w:t>
      </w:r>
      <w:r>
        <w:t xml:space="preserve">· PMID:</w:t>
      </w:r>
      <w:r>
        <w:t xml:space="preserve"> </w:t>
      </w:r>
      <w:hyperlink r:id="rId257">
        <w:r>
          <w:rPr>
            <w:rStyle w:val="Hyperlink"/>
          </w:rPr>
          <w:t xml:space="preserve">31233491</w:t>
        </w:r>
      </w:hyperlink>
      <w:r>
        <w:t xml:space="preserve"> </w:t>
      </w:r>
      <w:r>
        <w:t xml:space="preserve">· PMCID:</w:t>
      </w:r>
      <w:r>
        <w:t xml:space="preserve"> </w:t>
      </w:r>
      <w:hyperlink r:id="rId258">
        <w:r>
          <w:rPr>
            <w:rStyle w:val="Hyperlink"/>
          </w:rPr>
          <w:t xml:space="preserve">PMC6611653</w:t>
        </w:r>
      </w:hyperlink>
    </w:p>
    <w:bookmarkEnd w:id="259"/>
    <w:bookmarkEnd w:id="26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99" Target="media/rId99.png" /><Relationship Type="http://schemas.openxmlformats.org/officeDocument/2006/relationships/image" Id="rId69" Target="media/rId69.png" /><Relationship Type="http://schemas.openxmlformats.org/officeDocument/2006/relationships/image" Id="rId105" Target="media/rId10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9"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3" Target="https://doi.org/10.1007/s11192-019-03140-w" TargetMode="External" /><Relationship Type="http://schemas.openxmlformats.org/officeDocument/2006/relationships/hyperlink" Id="rId250"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2" Target="https://doi.org/10.1145/1557019.1557032" TargetMode="External" /><Relationship Type="http://schemas.openxmlformats.org/officeDocument/2006/relationships/hyperlink" Id="rId245"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6" Target="https://doi.org/10.1371/journal.pcbi.1007128" TargetMode="External" /><Relationship Type="http://schemas.openxmlformats.org/officeDocument/2006/relationships/hyperlink" Id="rId237"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49" Target="https://doi.org/b6f3cd" TargetMode="External" /><Relationship Type="http://schemas.openxmlformats.org/officeDocument/2006/relationships/hyperlink" Id="rId176" Target="https://doi.org/b8rn" TargetMode="External" /><Relationship Type="http://schemas.openxmlformats.org/officeDocument/2006/relationships/hyperlink" Id="rId255"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1"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6"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2"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4"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94fc5c9ee806b726c0280611c9b554d6872bb29b"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53" Target="https://github.com/greenelab/iscb-diversity-manuscript/issues?q=is%3Aissue+is%3Aclosed"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94fc5c9ee806b726c0280611c9b554d6872bb29b"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8" Target="https://greenelab.github.io/iscb-diversity-manuscript/" TargetMode="External" /><Relationship Type="http://schemas.openxmlformats.org/officeDocument/2006/relationships/hyperlink" Id="rId57" Target="https://greenelab.github.io/iscb-diversity-manuscript/v/6bda862974e77beb98697f39c18027683af158cb/" TargetMode="External" /><Relationship Type="http://schemas.openxmlformats.org/officeDocument/2006/relationships/hyperlink" Id="rId56" Target="https://greenelab.github.io/iscb-diversity-manuscript/v/711edb01f5335a4c1bb8e1e0575618586a7abf9b/" TargetMode="External" /><Relationship Type="http://schemas.openxmlformats.org/officeDocument/2006/relationships/hyperlink" Id="rId23" Target="https://greenelab.github.io/iscb-diversity-manuscript/v/94fc5c9ee806b726c0280611c9b554d6872bb29b/" TargetMode="External" /><Relationship Type="http://schemas.openxmlformats.org/officeDocument/2006/relationships/hyperlink" Id="rId112" Target="https://greenelab.github.io/iscb-diversity/" TargetMode="External" /><Relationship Type="http://schemas.openxmlformats.org/officeDocument/2006/relationships/hyperlink" Id="rId60" Target="https://greenelab.github.io/iscb-diversity/10.visualize-gender.html#sup_fig_s1"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7"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8"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7"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s>
</file>

<file path=word/_rels/footnotes.xml.rels><?xml version="1.0" encoding="UTF-8"?>
<Relationships xmlns="http://schemas.openxmlformats.org/package/2006/relationships"><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9"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3" Target="https://doi.org/10.1007/s11192-019-03140-w" TargetMode="External" /><Relationship Type="http://schemas.openxmlformats.org/officeDocument/2006/relationships/hyperlink" Id="rId250"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2" Target="https://doi.org/10.1145/1557019.1557032" TargetMode="External" /><Relationship Type="http://schemas.openxmlformats.org/officeDocument/2006/relationships/hyperlink" Id="rId245"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6" Target="https://doi.org/10.1371/journal.pcbi.1007128" TargetMode="External" /><Relationship Type="http://schemas.openxmlformats.org/officeDocument/2006/relationships/hyperlink" Id="rId237"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49" Target="https://doi.org/b6f3cd" TargetMode="External" /><Relationship Type="http://schemas.openxmlformats.org/officeDocument/2006/relationships/hyperlink" Id="rId176" Target="https://doi.org/b8rn" TargetMode="External" /><Relationship Type="http://schemas.openxmlformats.org/officeDocument/2006/relationships/hyperlink" Id="rId255"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1"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6"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2"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4"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94fc5c9ee806b726c0280611c9b554d6872bb29b"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53" Target="https://github.com/greenelab/iscb-diversity-manuscript/issues?q=is%3Aissue+is%3Aclosed"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94fc5c9ee806b726c0280611c9b554d6872bb29b"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8" Target="https://greenelab.github.io/iscb-diversity-manuscript/" TargetMode="External" /><Relationship Type="http://schemas.openxmlformats.org/officeDocument/2006/relationships/hyperlink" Id="rId57" Target="https://greenelab.github.io/iscb-diversity-manuscript/v/6bda862974e77beb98697f39c18027683af158cb/" TargetMode="External" /><Relationship Type="http://schemas.openxmlformats.org/officeDocument/2006/relationships/hyperlink" Id="rId56" Target="https://greenelab.github.io/iscb-diversity-manuscript/v/711edb01f5335a4c1bb8e1e0575618586a7abf9b/" TargetMode="External" /><Relationship Type="http://schemas.openxmlformats.org/officeDocument/2006/relationships/hyperlink" Id="rId23" Target="https://greenelab.github.io/iscb-diversity-manuscript/v/94fc5c9ee806b726c0280611c9b554d6872bb29b/" TargetMode="External" /><Relationship Type="http://schemas.openxmlformats.org/officeDocument/2006/relationships/hyperlink" Id="rId112" Target="https://greenelab.github.io/iscb-diversity/" TargetMode="External" /><Relationship Type="http://schemas.openxmlformats.org/officeDocument/2006/relationships/hyperlink" Id="rId60" Target="https://greenelab.github.io/iscb-diversity/10.visualize-gender.html#sup_fig_s1"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7"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8"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7"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honorees and keynotes reveals disparities</dc:title>
  <dc:creator/>
  <dc:language>en-US</dc:language>
  <cp:keywords>computational biology, iscb, disparities</cp:keywords>
  <dcterms:created xsi:type="dcterms:W3CDTF">2021-03-29T16:07:50Z</dcterms:created>
  <dcterms:modified xsi:type="dcterms:W3CDTF">2021-03-29T16:07:50Z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2021-03-29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