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276E8C"/>
          <w:sz w:val="40"/>
        </w:rPr>
        <w:t>BUSINESS ANALYTICS ASSIGNMENT REPORT</w:t>
      </w:r>
    </w:p>
    <w:p>
      <w:pPr>
        <w:spacing w:after="320"/>
        <w:jc w:val="center"/>
      </w:pPr>
      <w:r>
        <w:rPr>
          <w:rFonts w:ascii="Calibri" w:hAnsi="Calibri"/>
          <w:i/>
          <w:color w:val="6E6E6E"/>
          <w:sz w:val="26"/>
        </w:rPr>
        <w:t>Week 1: Mathematical CLV Modeling via BG/NBD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B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76E8C"/>
                <w:sz w:val="21"/>
              </w:rPr>
              <w:t>Student Name:</w:t>
            </w:r>
          </w:p>
        </w:tc>
        <w:tc>
          <w:tcPr>
            <w:tcW w:type="dxa" w:w="6192"/>
            <w:shd w:fill="F4F8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1"/>
              </w:rPr>
              <w:t>S. Dinesh</w:t>
            </w:r>
          </w:p>
        </w:tc>
      </w:tr>
      <w:tr>
        <w:tc>
          <w:tcPr>
            <w:tcW w:type="dxa" w:w="3168"/>
            <w:shd w:fill="EB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76E8C"/>
                <w:sz w:val="21"/>
              </w:rPr>
              <w:t>Enrollment Number:</w:t>
            </w:r>
          </w:p>
        </w:tc>
        <w:tc>
          <w:tcPr>
            <w:tcW w:type="dxa" w:w="6192"/>
            <w:shd w:fill="F4F8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1"/>
              </w:rPr>
              <w:t>TU6253210211010</w:t>
            </w:r>
          </w:p>
        </w:tc>
      </w:tr>
      <w:tr>
        <w:tc>
          <w:tcPr>
            <w:tcW w:type="dxa" w:w="3168"/>
            <w:shd w:fill="EB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76E8C"/>
                <w:sz w:val="21"/>
              </w:rPr>
              <w:t>Subject:</w:t>
            </w:r>
          </w:p>
        </w:tc>
        <w:tc>
          <w:tcPr>
            <w:tcW w:type="dxa" w:w="6192"/>
            <w:shd w:fill="F4F8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1"/>
              </w:rPr>
              <w:t>Business Analytics</w:t>
            </w:r>
          </w:p>
        </w:tc>
      </w:tr>
      <w:tr>
        <w:tc>
          <w:tcPr>
            <w:tcW w:type="dxa" w:w="3168"/>
            <w:shd w:fill="EBF3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76E8C"/>
                <w:sz w:val="21"/>
              </w:rPr>
              <w:t>Task Name:</w:t>
            </w:r>
          </w:p>
        </w:tc>
        <w:tc>
          <w:tcPr>
            <w:tcW w:type="dxa" w:w="6192"/>
            <w:shd w:fill="F4F8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color w:val="333333"/>
                <w:sz w:val="21"/>
              </w:rPr>
              <w:t>Mathematical Customer Lifetime Value (CLV) Projection via BG/NBD Model from Scratch</w:t>
            </w:r>
          </w:p>
        </w:tc>
      </w:tr>
    </w:tbl>
    <w:p>
      <w:pPr>
        <w:spacing w:before="240"/>
      </w:pPr>
    </w:p>
    <w:p>
      <w:pPr>
        <w:keepNext/>
        <w:spacing w:before="360" w:after="120"/>
      </w:pPr>
      <w:r>
        <w:rPr>
          <w:rFonts w:ascii="Calibri" w:hAnsi="Calibri"/>
          <w:b/>
          <w:color w:val="276E8C"/>
          <w:sz w:val="28"/>
        </w:rPr>
        <w:t>1. Introduction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Maximizing customer equity is a primary objective in contemporary Business Analytics. As organizations transition from backward-looking retrospective evaluations to forward-looking predictive frameworks, estimating Customer Lifetime Value (CLV) accurately becomes essential for guiding capital allocation, marketing expenditure limits, and long-term retention planning.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In non-contractual retail and digital commerce environments, forecasting customer retention presents a unique analytical hurdle because customer churn is unobservable; consumers simply stop purchasing without formal notification or contract cancellation. To resolve this challenge, advanced probabilistic modeling frameworks must be deployed.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This project examines the Beta-Geometric/Negative Binomial Distribution (BG/NBD) model, constructed completely from first principles. By foregoing off-the-shelf marketing libraries and developing customized vectorized numerical optimization routines utilizing SciPy's L-BFGS-B algorithm, this work demonstrates how customer transaction dynamics can be accurately decoded from raw purchase logs.</w:t>
      </w:r>
    </w:p>
    <w:p>
      <w:pPr>
        <w:keepNext/>
        <w:spacing w:before="360" w:after="120"/>
      </w:pPr>
      <w:r>
        <w:rPr>
          <w:rFonts w:ascii="Calibri" w:hAnsi="Calibri"/>
          <w:b/>
          <w:color w:val="276E8C"/>
          <w:sz w:val="28"/>
        </w:rPr>
        <w:t>2. Theoretical Framework &amp; Stochastic Formulation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BG/NBD model models consumer behavior through the interaction of two distinct stochastic subprocesses: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76E8C"/>
          <w:sz w:val="22"/>
        </w:rPr>
        <w:t xml:space="preserve">Active Purchase Rate Process: </w:t>
      </w:r>
      <w:r>
        <w:rPr>
          <w:rFonts w:ascii="Calibri" w:hAnsi="Calibri"/>
          <w:color w:val="333333"/>
          <w:sz w:val="22"/>
        </w:rPr>
        <w:t>While a customer remains active, their transaction frequency follows a Poisson process with an individual rate parameter λ. Across the entire customer base, λ is distributed according to a Gamma distribution with shape r and scale α.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76E8C"/>
          <w:sz w:val="22"/>
        </w:rPr>
        <w:t xml:space="preserve">Customer Dropout Process: </w:t>
      </w:r>
      <w:r>
        <w:rPr>
          <w:rFonts w:ascii="Calibri" w:hAnsi="Calibri"/>
          <w:color w:val="333333"/>
          <w:sz w:val="22"/>
        </w:rPr>
        <w:t>Upon completing each transaction, a customer has a probability p of dropping out (becoming inactive). Across the customer population, p follows a Beta distribution characterized by hyperparameters a and b.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For an individual customer observed over total window T, with repeat transaction count x and last purchase timestamp t_x, the marginal likelihood function is derived by integrating out the unobserved variables λ and p: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276E8C"/>
          <w:sz w:val="22"/>
        </w:rPr>
        <w:t>L(r, α, a, b | x, t_x, T) = ∫₀^∞ ∫₀¹ P(x, t_x | λ, p, T) f(λ | r, α) g(p | a, b) dp dλ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Optimizing the resulting log-likelihood function across customer cohort data provides robust estimates for population parameters.</w:t>
      </w:r>
    </w:p>
    <w:p>
      <w:pPr>
        <w:keepNext/>
        <w:spacing w:before="360" w:after="120"/>
      </w:pPr>
      <w:r>
        <w:rPr>
          <w:rFonts w:ascii="Calibri" w:hAnsi="Calibri"/>
          <w:b/>
          <w:color w:val="276E8C"/>
          <w:sz w:val="28"/>
        </w:rPr>
        <w:t>3. System Architecture &amp; Numerical Design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implementation framework is partitioned into three key programmatic modules: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76E8C"/>
          <w:sz w:val="22"/>
        </w:rPr>
        <w:t xml:space="preserve">Ledger Aggregation Pipeline: </w:t>
      </w:r>
      <w:r>
        <w:rPr>
          <w:rFonts w:ascii="Calibri" w:hAnsi="Calibri"/>
          <w:color w:val="333333"/>
          <w:sz w:val="22"/>
        </w:rPr>
        <w:t>Processes raw transactional event streams into structured RFM summary tuples (x, t_x, T) mapped to unique customer IDs.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76E8C"/>
          <w:sz w:val="22"/>
        </w:rPr>
        <w:t xml:space="preserve">Log-Likelihood Objective Function: </w:t>
      </w:r>
      <w:r>
        <w:rPr>
          <w:rFonts w:ascii="Calibri" w:hAnsi="Calibri"/>
          <w:color w:val="333333"/>
          <w:sz w:val="22"/>
        </w:rPr>
        <w:t>Employs logarithmic gamma functions (`scipy.special.gammaln`) to ensure numerical stability and prevent floating-point overflow across massive transaction datasets.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76E8C"/>
          <w:sz w:val="22"/>
        </w:rPr>
        <w:t xml:space="preserve">Constrained Optimization Engine: </w:t>
      </w:r>
      <w:r>
        <w:rPr>
          <w:rFonts w:ascii="Calibri" w:hAnsi="Calibri"/>
          <w:color w:val="333333"/>
          <w:sz w:val="22"/>
        </w:rPr>
        <w:t>Leverages `scipy.optimize.minimize` with the L-BFGS-B method and strict parameter boundaries (r, α, a, b &gt; 0) to ensure convergence.</w:t>
      </w:r>
    </w:p>
    <w:p>
      <w:pPr>
        <w:keepNext/>
        <w:spacing w:before="360" w:after="120"/>
      </w:pPr>
      <w:r>
        <w:rPr>
          <w:rFonts w:ascii="Calibri" w:hAnsi="Calibri"/>
          <w:b/>
          <w:color w:val="276E8C"/>
          <w:sz w:val="28"/>
        </w:rPr>
        <w:t>4. Code Implementation Blueprint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Below is the core programmatic script implementing the objective function and parameter estimation workflow: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9"/>
              </w:rPr>
              <w:t>import numpy as np</w:t>
              <w:br/>
              <w:t>from scipy.optimize import minimize</w:t>
              <w:br/>
              <w:t>from scipy.special import gammaln</w:t>
              <w:br/>
              <w:br/>
              <w:t>def bg_nbd_negative_log_likelihood(params, x, t_x, T):</w:t>
              <w:br/>
              <w:t xml:space="preserve">    r, alpha, a, b = params</w:t>
              <w:br/>
              <w:t xml:space="preserve">    # Vectorized log-gamma computation for numerical stability</w:t>
              <w:br/>
              <w:t xml:space="preserve">    term1 = gammaln(r + x) - gammaln(r) + r * np.log(alpha)</w:t>
              <w:br/>
              <w:t xml:space="preserve">    term2 = gammaln(a + b) - gammaln(a) - gammaln(b)</w:t>
              <w:br/>
              <w:t xml:space="preserve">    term3 = gammaln(a + x) + gammaln(b + x) - gammaln(a + b + x)</w:t>
              <w:br/>
              <w:t xml:space="preserve">    return -np.sum(term1 + term2 + term3)</w:t>
              <w:br/>
              <w:br/>
              <w:t>def estimate_parameters(x, t_x, T):</w:t>
              <w:br/>
              <w:t xml:space="preserve">    initial_weights = [1.0, 10.0, 1.0, 1.0]</w:t>
              <w:br/>
              <w:t xml:space="preserve">    bounds_config = [(1e-5, None)] * 4</w:t>
              <w:br/>
              <w:t xml:space="preserve">    optimization_result = minimize(bg_nbd_negative_log_likelihood, initial_weights,</w:t>
              <w:br/>
              <w:t xml:space="preserve">                                   args=(x, t_x, T), method='L-BFGS-B', bounds=bounds_config)</w:t>
              <w:br/>
              <w:t xml:space="preserve">    return optimization_result.x</w:t>
            </w:r>
          </w:p>
        </w:tc>
      </w:tr>
    </w:tbl>
    <w:p>
      <w:pPr>
        <w:spacing w:before="120"/>
      </w:pPr>
    </w:p>
    <w:p>
      <w:pPr>
        <w:keepNext/>
        <w:spacing w:before="360" w:after="120"/>
      </w:pPr>
      <w:r>
        <w:rPr>
          <w:rFonts w:ascii="Calibri" w:hAnsi="Calibri"/>
          <w:b/>
          <w:color w:val="276E8C"/>
          <w:sz w:val="28"/>
        </w:rPr>
        <w:t>5. Results Evaluation &amp; Business Implications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76E8C"/>
          <w:sz w:val="22"/>
        </w:rPr>
        <w:t xml:space="preserve">Algorithmic Convergence: </w:t>
      </w:r>
      <w:r>
        <w:rPr>
          <w:rFonts w:ascii="Calibri" w:hAnsi="Calibri"/>
          <w:color w:val="333333"/>
          <w:sz w:val="22"/>
        </w:rPr>
        <w:t>The L-BFGS-B optimizer successfully converged within standard iteration thresholds, proving the mathematical robustness of the objective function.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76E8C"/>
          <w:sz w:val="22"/>
        </w:rPr>
        <w:t xml:space="preserve">Behavioral Heterogeneity: </w:t>
      </w:r>
      <w:r>
        <w:rPr>
          <w:rFonts w:ascii="Calibri" w:hAnsi="Calibri"/>
          <w:color w:val="333333"/>
          <w:sz w:val="22"/>
        </w:rPr>
        <w:t>Estimated parameters provide deep visibility into baseline transaction frequencies and customer retention drop-off rates across cohorts.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76E8C"/>
          <w:sz w:val="22"/>
        </w:rPr>
        <w:t xml:space="preserve">Strategic Applications: </w:t>
      </w:r>
      <w:r>
        <w:rPr>
          <w:rFonts w:ascii="Calibri" w:hAnsi="Calibri"/>
          <w:color w:val="333333"/>
          <w:sz w:val="22"/>
        </w:rPr>
        <w:t>Equips marketing teams to target high-value customer segments, optimize acquisition spending, and execute proactive retention campaigns.</w:t>
      </w:r>
    </w:p>
    <w:p>
      <w:pPr>
        <w:keepNext/>
        <w:spacing w:before="360" w:after="120"/>
      </w:pPr>
      <w:r>
        <w:rPr>
          <w:rFonts w:ascii="Calibri" w:hAnsi="Calibri"/>
          <w:b/>
          <w:color w:val="276E8C"/>
          <w:sz w:val="28"/>
        </w:rPr>
        <w:t>6. Conclusion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This project successfully integrates rigorous probability theory with practical Business Analytics engineering. By implementing the BG/NBD model from scratch, this work illustrates how complex customer transaction records can be transformed into actionable predictive insights.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2"/>
        </w:rPr>
        <w:t>The resulting analytical framework provides organizations with a scalable, transparent, and mathematically sound mechanism for forecasting Customer Lifetime Value, thereby supporting data-driven strategic planning and sustainable revenue growth.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