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A7C6" w14:textId="2EF6515F" w:rsidR="007B2DAC" w:rsidRPr="007B2DAC" w:rsidRDefault="007B2DAC" w:rsidP="007B2DAC">
      <w:pPr>
        <w:pStyle w:val="Heading1"/>
        <w:spacing w:before="240" w:after="120"/>
        <w:ind w:left="2160" w:firstLine="720"/>
        <w:rPr>
          <w:rFonts w:asciiTheme="minorHAnsi" w:hAnsiTheme="minorHAnsi" w:cstheme="minorHAnsi"/>
          <w:b/>
          <w:bCs/>
          <w:color w:val="auto"/>
        </w:rPr>
      </w:pPr>
      <w:r>
        <w:rPr>
          <w:rFonts w:asciiTheme="minorHAnsi" w:hAnsiTheme="minorHAnsi" w:cstheme="minorHAnsi"/>
          <w:b/>
          <w:bCs/>
          <w:color w:val="auto"/>
        </w:rPr>
        <w:t xml:space="preserve"> </w:t>
      </w:r>
      <w:r w:rsidRPr="007B2DAC">
        <w:rPr>
          <w:rFonts w:asciiTheme="minorHAnsi" w:hAnsiTheme="minorHAnsi" w:cstheme="minorHAnsi"/>
          <w:b/>
          <w:bCs/>
          <w:color w:val="auto"/>
        </w:rPr>
        <w:t>TASKS SUMMARY REPORT</w:t>
      </w:r>
    </w:p>
    <w:p w14:paraId="33A9A3D0" w14:textId="5DC1FD2E"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1. Problem Understanding &amp; Approach</w:t>
      </w:r>
    </w:p>
    <w:p w14:paraId="0DFE28A0" w14:textId="1A7442DA"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 xml:space="preserve">Nectar's Intelligent Facilities Platform ingests telemetry from HVAC systems, chillers, pumps, AHUs, energy meters, and environmental sensors across 3 sites, 6 buildings, and 62 assets. This project </w:t>
      </w:r>
      <w:proofErr w:type="spellStart"/>
      <w:r w:rsidRPr="007B2DAC">
        <w:rPr>
          <w:rFonts w:asciiTheme="minorHAnsi" w:hAnsiTheme="minorHAnsi" w:cstheme="minorHAnsi"/>
          <w:sz w:val="24"/>
          <w:szCs w:val="24"/>
        </w:rPr>
        <w:t>analyzes</w:t>
      </w:r>
      <w:proofErr w:type="spellEnd"/>
      <w:r w:rsidRPr="007B2DAC">
        <w:rPr>
          <w:rFonts w:asciiTheme="minorHAnsi" w:hAnsiTheme="minorHAnsi" w:cstheme="minorHAnsi"/>
          <w:sz w:val="24"/>
          <w:szCs w:val="24"/>
        </w:rPr>
        <w:t xml:space="preserve"> 10 days of synthetic telemetry (178,560 readings, 5-minute sampling) to deliver five capabilities: exploratory analysis, predictive maintenance, energy forecasting, anomaly detection, and multi-asset connectivity analysis, plus a bonus real-time dashboard </w:t>
      </w:r>
    </w:p>
    <w:p w14:paraId="6A692F3B" w14:textId="0D809F84"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 xml:space="preserve">Design philosophy: historical </w:t>
      </w:r>
      <w:r w:rsidR="00F626CE">
        <w:rPr>
          <w:rFonts w:asciiTheme="minorHAnsi" w:hAnsiTheme="minorHAnsi" w:cstheme="minorHAnsi"/>
          <w:sz w:val="24"/>
          <w:szCs w:val="24"/>
        </w:rPr>
        <w:t xml:space="preserve">synthetic data </w:t>
      </w:r>
      <w:r w:rsidRPr="007B2DAC">
        <w:rPr>
          <w:rFonts w:asciiTheme="minorHAnsi" w:hAnsiTheme="minorHAnsi" w:cstheme="minorHAnsi"/>
          <w:sz w:val="24"/>
          <w:szCs w:val="24"/>
        </w:rPr>
        <w:t xml:space="preserve">CSVs are used for training and analysis </w:t>
      </w:r>
    </w:p>
    <w:p w14:paraId="6045D19C" w14:textId="77777777"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2. Task 1 — Exploratory Data Analysis</w:t>
      </w:r>
    </w:p>
    <w:p w14:paraId="71872C14"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Key Findings</w:t>
      </w:r>
    </w:p>
    <w:p w14:paraId="69B2F65F"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Data quality: ~2.03% missing values uniformly distributed across temperature, humidity, pressure, vibration, and power — consistent with transient wireless packet loss, not sensor failure.</w:t>
      </w:r>
    </w:p>
    <w:p w14:paraId="11A28523"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 xml:space="preserve">Asset-type </w:t>
      </w:r>
      <w:proofErr w:type="spellStart"/>
      <w:r w:rsidRPr="007B2DAC">
        <w:rPr>
          <w:rFonts w:asciiTheme="minorHAnsi" w:hAnsiTheme="minorHAnsi" w:cstheme="minorHAnsi"/>
          <w:sz w:val="24"/>
          <w:szCs w:val="24"/>
        </w:rPr>
        <w:t>behavior</w:t>
      </w:r>
      <w:proofErr w:type="spellEnd"/>
      <w:r w:rsidRPr="007B2DAC">
        <w:rPr>
          <w:rFonts w:asciiTheme="minorHAnsi" w:hAnsiTheme="minorHAnsi" w:cstheme="minorHAnsi"/>
          <w:sz w:val="24"/>
          <w:szCs w:val="24"/>
        </w:rPr>
        <w:t>: Chillers are the heaviest energy consumers (mean 43.16 kWh, up to 58% of total facility energy); Pumps show the highest baseline vibration (mean 0.61g, max 5.38g).</w:t>
      </w:r>
    </w:p>
    <w:p w14:paraId="22DA5566"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 xml:space="preserve">Temporal pattern — the 'phantom load' problem: building occupancy drops to near-zero overnight (20:00–07:00), but total power only falls from ~16.9 kWh to ~10.9 kWh (a </w:t>
      </w:r>
      <w:proofErr w:type="gramStart"/>
      <w:r w:rsidRPr="007B2DAC">
        <w:rPr>
          <w:rFonts w:asciiTheme="minorHAnsi" w:hAnsiTheme="minorHAnsi" w:cstheme="minorHAnsi"/>
          <w:sz w:val="24"/>
          <w:szCs w:val="24"/>
        </w:rPr>
        <w:t>65.5% night</w:t>
      </w:r>
      <w:proofErr w:type="gramEnd"/>
      <w:r w:rsidRPr="007B2DAC">
        <w:rPr>
          <w:rFonts w:asciiTheme="minorHAnsi" w:hAnsiTheme="minorHAnsi" w:cstheme="minorHAnsi"/>
          <w:sz w:val="24"/>
          <w:szCs w:val="24"/>
        </w:rPr>
        <w:t xml:space="preserve"> baseload). Chillers continue drawing 90.3% of daytime peak power at night.</w:t>
      </w:r>
    </w:p>
    <w:p w14:paraId="2D0B010C"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Failure drivers: vibration is the dominant predictor of faults (71.8% feature importance, Pearson r = +0.34). Fault probability rises non-linearly: 1.5% at low vibration (&lt;0.55g) to 5.4% at extreme vibration (&gt;1.02g) — a 3.7x increase.</w:t>
      </w:r>
    </w:p>
    <w:p w14:paraId="1A33FEC8"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Cross-site benchmarking: SITE-01-BLDG-01 is the highest-risk facility (2.41% fault rate, 22.9% of total portfolio energy); SITE-03-BLDG-02 is the best performer (1.65% fault rate).</w:t>
      </w:r>
    </w:p>
    <w:p w14:paraId="57C1F4D4"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Manufacturer reliability: Johnson Controls (1.79% fault rate) outperforms Daikin (2.37%).</w:t>
      </w:r>
    </w:p>
    <w:p w14:paraId="46DA4F5E" w14:textId="77777777"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3. Task 2 — Predictive Maintenance</w:t>
      </w:r>
    </w:p>
    <w:p w14:paraId="4023A7A2"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Approach</w:t>
      </w:r>
    </w:p>
    <w:p w14:paraId="32E2CD91" w14:textId="0A78DFB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 xml:space="preserve">Random Forest, </w:t>
      </w:r>
      <w:proofErr w:type="spellStart"/>
      <w:r w:rsidRPr="007B2DAC">
        <w:rPr>
          <w:rFonts w:asciiTheme="minorHAnsi" w:hAnsiTheme="minorHAnsi" w:cstheme="minorHAnsi"/>
          <w:sz w:val="24"/>
          <w:szCs w:val="24"/>
        </w:rPr>
        <w:t>XGBoost</w:t>
      </w:r>
      <w:proofErr w:type="spellEnd"/>
      <w:r w:rsidRPr="007B2DAC">
        <w:rPr>
          <w:rFonts w:asciiTheme="minorHAnsi" w:hAnsiTheme="minorHAnsi" w:cstheme="minorHAnsi"/>
          <w:sz w:val="24"/>
          <w:szCs w:val="24"/>
        </w:rPr>
        <w:t xml:space="preserve">, and </w:t>
      </w:r>
      <w:proofErr w:type="spellStart"/>
      <w:r w:rsidRPr="007B2DAC">
        <w:rPr>
          <w:rFonts w:asciiTheme="minorHAnsi" w:hAnsiTheme="minorHAnsi" w:cstheme="minorHAnsi"/>
          <w:sz w:val="24"/>
          <w:szCs w:val="24"/>
        </w:rPr>
        <w:t>CatBoost</w:t>
      </w:r>
      <w:proofErr w:type="spellEnd"/>
      <w:r w:rsidRPr="007B2DAC">
        <w:rPr>
          <w:rFonts w:asciiTheme="minorHAnsi" w:hAnsiTheme="minorHAnsi" w:cstheme="minorHAnsi"/>
          <w:sz w:val="24"/>
          <w:szCs w:val="24"/>
        </w:rPr>
        <w:t xml:space="preserve"> were trained and compared on held-out data Target: predict asset failure within the next 1 hour (see README Assumption #3 for why the requested 24h horizon was not statistically learnable on this synthetic dataset).</w:t>
      </w:r>
    </w:p>
    <w:p w14:paraId="117D2ECB" w14:textId="77777777" w:rsidR="00F626CE" w:rsidRDefault="00F626CE">
      <w:pPr>
        <w:pStyle w:val="Heading2"/>
        <w:spacing w:before="180" w:after="100"/>
        <w:rPr>
          <w:rFonts w:asciiTheme="minorHAnsi" w:hAnsiTheme="minorHAnsi" w:cstheme="minorHAnsi"/>
          <w:b/>
          <w:bCs/>
          <w:color w:val="auto"/>
          <w:sz w:val="24"/>
          <w:szCs w:val="24"/>
        </w:rPr>
      </w:pPr>
    </w:p>
    <w:p w14:paraId="4527F452" w14:textId="77777777" w:rsidR="00F626CE" w:rsidRDefault="00F626CE">
      <w:pPr>
        <w:pStyle w:val="Heading2"/>
        <w:spacing w:before="180" w:after="100"/>
        <w:rPr>
          <w:rFonts w:asciiTheme="minorHAnsi" w:hAnsiTheme="minorHAnsi" w:cstheme="minorHAnsi"/>
          <w:b/>
          <w:bCs/>
          <w:color w:val="auto"/>
          <w:sz w:val="24"/>
          <w:szCs w:val="24"/>
        </w:rPr>
      </w:pPr>
    </w:p>
    <w:p w14:paraId="065A18E5" w14:textId="77777777" w:rsidR="00F626CE" w:rsidRDefault="00F626CE">
      <w:pPr>
        <w:pStyle w:val="Heading2"/>
        <w:spacing w:before="180" w:after="100"/>
        <w:rPr>
          <w:rFonts w:asciiTheme="minorHAnsi" w:hAnsiTheme="minorHAnsi" w:cstheme="minorHAnsi"/>
          <w:b/>
          <w:bCs/>
          <w:color w:val="auto"/>
          <w:sz w:val="24"/>
          <w:szCs w:val="24"/>
        </w:rPr>
      </w:pPr>
    </w:p>
    <w:p w14:paraId="41F4F3BD" w14:textId="28D4CA1A"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lastRenderedPageBreak/>
        <w:t>Model Comparison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500"/>
        <w:gridCol w:w="1500"/>
        <w:gridCol w:w="1500"/>
      </w:tblGrid>
      <w:tr w:rsidR="008C7B00" w:rsidRPr="007B2DAC" w14:paraId="0CBAB549" w14:textId="77777777">
        <w:tblPrEx>
          <w:tblCellMar>
            <w:top w:w="0" w:type="dxa"/>
            <w:bottom w:w="0" w:type="dxa"/>
          </w:tblCellMar>
        </w:tblPrEx>
        <w:tc>
          <w:tcPr>
            <w:tcW w:w="3200" w:type="dxa"/>
            <w:shd w:val="clear" w:color="auto" w:fill="2C3E50"/>
          </w:tcPr>
          <w:p w14:paraId="6D377F1C"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Model</w:t>
            </w:r>
          </w:p>
        </w:tc>
        <w:tc>
          <w:tcPr>
            <w:tcW w:w="1800" w:type="dxa"/>
            <w:shd w:val="clear" w:color="auto" w:fill="2C3E50"/>
          </w:tcPr>
          <w:p w14:paraId="05145321"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Precision</w:t>
            </w:r>
          </w:p>
        </w:tc>
        <w:tc>
          <w:tcPr>
            <w:tcW w:w="1500" w:type="dxa"/>
            <w:shd w:val="clear" w:color="auto" w:fill="2C3E50"/>
          </w:tcPr>
          <w:p w14:paraId="77C5D980"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Recall</w:t>
            </w:r>
          </w:p>
        </w:tc>
        <w:tc>
          <w:tcPr>
            <w:tcW w:w="1500" w:type="dxa"/>
            <w:shd w:val="clear" w:color="auto" w:fill="2C3E50"/>
          </w:tcPr>
          <w:p w14:paraId="7C35EC65"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F1</w:t>
            </w:r>
          </w:p>
        </w:tc>
        <w:tc>
          <w:tcPr>
            <w:tcW w:w="1500" w:type="dxa"/>
            <w:shd w:val="clear" w:color="auto" w:fill="2C3E50"/>
          </w:tcPr>
          <w:p w14:paraId="3BBAEA49"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ROC-AUC</w:t>
            </w:r>
          </w:p>
        </w:tc>
      </w:tr>
      <w:tr w:rsidR="008C7B00" w:rsidRPr="007B2DAC" w14:paraId="1A3CDDDD" w14:textId="77777777">
        <w:tblPrEx>
          <w:tblCellMar>
            <w:top w:w="0" w:type="dxa"/>
            <w:bottom w:w="0" w:type="dxa"/>
          </w:tblCellMar>
        </w:tblPrEx>
        <w:tc>
          <w:tcPr>
            <w:tcW w:w="3200" w:type="dxa"/>
          </w:tcPr>
          <w:p w14:paraId="71C95EEC"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Random Forest (selected)</w:t>
            </w:r>
          </w:p>
        </w:tc>
        <w:tc>
          <w:tcPr>
            <w:tcW w:w="1800" w:type="dxa"/>
          </w:tcPr>
          <w:p w14:paraId="554B86C8"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0.469</w:t>
            </w:r>
          </w:p>
        </w:tc>
        <w:tc>
          <w:tcPr>
            <w:tcW w:w="1500" w:type="dxa"/>
          </w:tcPr>
          <w:p w14:paraId="4D7E9B05"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0.571</w:t>
            </w:r>
          </w:p>
        </w:tc>
        <w:tc>
          <w:tcPr>
            <w:tcW w:w="1500" w:type="dxa"/>
          </w:tcPr>
          <w:p w14:paraId="0D0DEC08"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0.515</w:t>
            </w:r>
          </w:p>
        </w:tc>
        <w:tc>
          <w:tcPr>
            <w:tcW w:w="1500" w:type="dxa"/>
          </w:tcPr>
          <w:p w14:paraId="6A24A0E2"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0.689</w:t>
            </w:r>
          </w:p>
        </w:tc>
      </w:tr>
      <w:tr w:rsidR="008C7B00" w:rsidRPr="007B2DAC" w14:paraId="62D43AFB" w14:textId="77777777">
        <w:tblPrEx>
          <w:tblCellMar>
            <w:top w:w="0" w:type="dxa"/>
            <w:bottom w:w="0" w:type="dxa"/>
          </w:tblCellMar>
        </w:tblPrEx>
        <w:tc>
          <w:tcPr>
            <w:tcW w:w="3200" w:type="dxa"/>
          </w:tcPr>
          <w:p w14:paraId="2C182002" w14:textId="77777777" w:rsidR="008C7B00" w:rsidRPr="007B2DAC" w:rsidRDefault="00000000">
            <w:pPr>
              <w:rPr>
                <w:rFonts w:asciiTheme="minorHAnsi" w:hAnsiTheme="minorHAnsi" w:cstheme="minorHAnsi"/>
                <w:sz w:val="24"/>
                <w:szCs w:val="24"/>
              </w:rPr>
            </w:pPr>
            <w:proofErr w:type="spellStart"/>
            <w:r w:rsidRPr="007B2DAC">
              <w:rPr>
                <w:rFonts w:asciiTheme="minorHAnsi" w:hAnsiTheme="minorHAnsi" w:cstheme="minorHAnsi"/>
                <w:color w:val="000000"/>
                <w:sz w:val="24"/>
                <w:szCs w:val="24"/>
              </w:rPr>
              <w:t>XGBoost</w:t>
            </w:r>
            <w:proofErr w:type="spellEnd"/>
          </w:p>
        </w:tc>
        <w:tc>
          <w:tcPr>
            <w:tcW w:w="1800" w:type="dxa"/>
          </w:tcPr>
          <w:p w14:paraId="3490B376"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0.386</w:t>
            </w:r>
          </w:p>
        </w:tc>
        <w:tc>
          <w:tcPr>
            <w:tcW w:w="1500" w:type="dxa"/>
          </w:tcPr>
          <w:p w14:paraId="2E417B54"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0.629</w:t>
            </w:r>
          </w:p>
        </w:tc>
        <w:tc>
          <w:tcPr>
            <w:tcW w:w="1500" w:type="dxa"/>
          </w:tcPr>
          <w:p w14:paraId="2125079B"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0.479</w:t>
            </w:r>
          </w:p>
        </w:tc>
        <w:tc>
          <w:tcPr>
            <w:tcW w:w="1500" w:type="dxa"/>
          </w:tcPr>
          <w:p w14:paraId="24A180BB"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0.681</w:t>
            </w:r>
          </w:p>
        </w:tc>
      </w:tr>
      <w:tr w:rsidR="008C7B00" w:rsidRPr="007B2DAC" w14:paraId="0A1B420A" w14:textId="77777777">
        <w:tblPrEx>
          <w:tblCellMar>
            <w:top w:w="0" w:type="dxa"/>
            <w:bottom w:w="0" w:type="dxa"/>
          </w:tblCellMar>
        </w:tblPrEx>
        <w:tc>
          <w:tcPr>
            <w:tcW w:w="3200" w:type="dxa"/>
          </w:tcPr>
          <w:p w14:paraId="02E7A01B" w14:textId="77777777" w:rsidR="008C7B00" w:rsidRPr="007B2DAC" w:rsidRDefault="00000000">
            <w:pPr>
              <w:rPr>
                <w:rFonts w:asciiTheme="minorHAnsi" w:hAnsiTheme="minorHAnsi" w:cstheme="minorHAnsi"/>
                <w:sz w:val="24"/>
                <w:szCs w:val="24"/>
              </w:rPr>
            </w:pPr>
            <w:proofErr w:type="spellStart"/>
            <w:r w:rsidRPr="007B2DAC">
              <w:rPr>
                <w:rFonts w:asciiTheme="minorHAnsi" w:hAnsiTheme="minorHAnsi" w:cstheme="minorHAnsi"/>
                <w:color w:val="000000"/>
                <w:sz w:val="24"/>
                <w:szCs w:val="24"/>
              </w:rPr>
              <w:t>CatBoost</w:t>
            </w:r>
            <w:proofErr w:type="spellEnd"/>
          </w:p>
        </w:tc>
        <w:tc>
          <w:tcPr>
            <w:tcW w:w="1800" w:type="dxa"/>
          </w:tcPr>
          <w:p w14:paraId="0AF5D506"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0.384</w:t>
            </w:r>
          </w:p>
        </w:tc>
        <w:tc>
          <w:tcPr>
            <w:tcW w:w="1500" w:type="dxa"/>
          </w:tcPr>
          <w:p w14:paraId="13F9F6EA"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0.644</w:t>
            </w:r>
          </w:p>
        </w:tc>
        <w:tc>
          <w:tcPr>
            <w:tcW w:w="1500" w:type="dxa"/>
          </w:tcPr>
          <w:p w14:paraId="77822E29"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0.481</w:t>
            </w:r>
          </w:p>
        </w:tc>
        <w:tc>
          <w:tcPr>
            <w:tcW w:w="1500" w:type="dxa"/>
          </w:tcPr>
          <w:p w14:paraId="5831D091"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0.686</w:t>
            </w:r>
          </w:p>
        </w:tc>
      </w:tr>
    </w:tbl>
    <w:p w14:paraId="52C13AAB" w14:textId="77777777" w:rsidR="008C7B00" w:rsidRPr="007B2DAC" w:rsidRDefault="008C7B00">
      <w:pPr>
        <w:spacing w:after="120"/>
        <w:rPr>
          <w:rFonts w:asciiTheme="minorHAnsi" w:hAnsiTheme="minorHAnsi" w:cstheme="minorHAnsi"/>
          <w:sz w:val="24"/>
          <w:szCs w:val="24"/>
        </w:rPr>
      </w:pPr>
    </w:p>
    <w:p w14:paraId="59F4A56F"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Why Random Forest Was Selected</w:t>
      </w:r>
    </w:p>
    <w:p w14:paraId="197B8212"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Random Forest achieved the highest ROC-AUC (0.689), separating 'will fail soon' from 'won't fail' better than the alternatives across all decision thresholds — important because the operational probability cutoff may shift based on daily technician availability. In a maintenance-scheduling context, missing a real failure (false negative) is costlier than a false alarm, so Recall was weighted alongside ROC-AUC. Random Forest's bagging approach was also more stable on this dataset's ~2% positive-class rate than the boosting alternatives tested.</w:t>
      </w:r>
    </w:p>
    <w:p w14:paraId="3239B1D9"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Important Features Driving Predictions</w:t>
      </w:r>
    </w:p>
    <w:p w14:paraId="6A68AC58"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vibration_roll_mean_1h — 21.5% importance (rolling vibration trend, top predictor)</w:t>
      </w:r>
    </w:p>
    <w:p w14:paraId="4CA895FE"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vibration (instantaneous) — 14.0%</w:t>
      </w:r>
    </w:p>
    <w:p w14:paraId="7A8F0BEF" w14:textId="77777777" w:rsidR="008C7B00" w:rsidRPr="007B2DAC" w:rsidRDefault="00000000">
      <w:pPr>
        <w:pStyle w:val="ListParagraph"/>
        <w:numPr>
          <w:ilvl w:val="0"/>
          <w:numId w:val="1"/>
        </w:numPr>
        <w:spacing w:after="60"/>
        <w:rPr>
          <w:rFonts w:asciiTheme="minorHAnsi" w:hAnsiTheme="minorHAnsi" w:cstheme="minorHAnsi"/>
          <w:sz w:val="24"/>
          <w:szCs w:val="24"/>
        </w:rPr>
      </w:pPr>
      <w:proofErr w:type="spellStart"/>
      <w:r w:rsidRPr="007B2DAC">
        <w:rPr>
          <w:rFonts w:asciiTheme="minorHAnsi" w:hAnsiTheme="minorHAnsi" w:cstheme="minorHAnsi"/>
          <w:sz w:val="24"/>
          <w:szCs w:val="24"/>
        </w:rPr>
        <w:t>asset_age_years</w:t>
      </w:r>
      <w:proofErr w:type="spellEnd"/>
      <w:r w:rsidRPr="007B2DAC">
        <w:rPr>
          <w:rFonts w:asciiTheme="minorHAnsi" w:hAnsiTheme="minorHAnsi" w:cstheme="minorHAnsi"/>
          <w:sz w:val="24"/>
          <w:szCs w:val="24"/>
        </w:rPr>
        <w:t xml:space="preserve"> — 8.6%</w:t>
      </w:r>
    </w:p>
    <w:p w14:paraId="5CC9C7C8"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temperature_roll_mean_1h — 6.2%</w:t>
      </w:r>
    </w:p>
    <w:p w14:paraId="44023C84"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vibration_roll_std_1h — 5.3%</w:t>
      </w:r>
    </w:p>
    <w:p w14:paraId="24D86D45"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Vibration-related features alone account for over 40% of total importance, directly reinforcing the Task 1 EDA finding that vibration is the dominant fault driver.</w:t>
      </w:r>
    </w:p>
    <w:p w14:paraId="1DE4B753"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Business Impact</w:t>
      </w:r>
    </w:p>
    <w:p w14:paraId="6A59BB06"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On the held-out test window, the model correctly caught 57.1% of assets that actually failed (5,256 of 9,206), giving operations teams advance warning to schedule planned maintenance instead of reacting to emergency callouts. Sorting alerts by predicted probability (not just the binary flag) allows triage when technician capacity is limited on a given day.</w:t>
      </w:r>
    </w:p>
    <w:p w14:paraId="7D0D36FD" w14:textId="77777777" w:rsidR="00E3545F" w:rsidRDefault="00E3545F">
      <w:pPr>
        <w:pStyle w:val="Heading1"/>
        <w:spacing w:before="240" w:after="120"/>
        <w:rPr>
          <w:rFonts w:asciiTheme="minorHAnsi" w:hAnsiTheme="minorHAnsi" w:cstheme="minorHAnsi"/>
          <w:b/>
          <w:bCs/>
          <w:color w:val="auto"/>
          <w:sz w:val="24"/>
          <w:szCs w:val="24"/>
        </w:rPr>
      </w:pPr>
    </w:p>
    <w:p w14:paraId="0F68C726" w14:textId="1958C1BD"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4. Task 3 — Energy Consumption Forecasting</w:t>
      </w:r>
    </w:p>
    <w:p w14:paraId="41ACBAD8"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Approach</w:t>
      </w:r>
    </w:p>
    <w:p w14:paraId="1A88D999"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 xml:space="preserve">Prophet, ARIMA, and </w:t>
      </w:r>
      <w:proofErr w:type="spellStart"/>
      <w:r w:rsidRPr="007B2DAC">
        <w:rPr>
          <w:rFonts w:asciiTheme="minorHAnsi" w:hAnsiTheme="minorHAnsi" w:cstheme="minorHAnsi"/>
          <w:sz w:val="24"/>
          <w:szCs w:val="24"/>
        </w:rPr>
        <w:t>XGBoost</w:t>
      </w:r>
      <w:proofErr w:type="spellEnd"/>
      <w:r w:rsidRPr="007B2DAC">
        <w:rPr>
          <w:rFonts w:asciiTheme="minorHAnsi" w:hAnsiTheme="minorHAnsi" w:cstheme="minorHAnsi"/>
          <w:sz w:val="24"/>
          <w:szCs w:val="24"/>
        </w:rPr>
        <w:t xml:space="preserve"> were trained and compared for 24-hour-ahead building-level energy forecasting, evaluated on a chronological last-24h holdout per building.</w:t>
      </w:r>
    </w:p>
    <w:p w14:paraId="1CADBBD1" w14:textId="77777777" w:rsidR="007B2DAC" w:rsidRDefault="007B2DAC">
      <w:pPr>
        <w:pStyle w:val="Heading2"/>
        <w:spacing w:before="180" w:after="100"/>
        <w:rPr>
          <w:rFonts w:asciiTheme="minorHAnsi" w:hAnsiTheme="minorHAnsi" w:cstheme="minorHAnsi"/>
          <w:b/>
          <w:bCs/>
          <w:color w:val="auto"/>
          <w:sz w:val="24"/>
          <w:szCs w:val="24"/>
        </w:rPr>
      </w:pPr>
    </w:p>
    <w:p w14:paraId="508836FE" w14:textId="77777777" w:rsidR="007B2DAC" w:rsidRDefault="007B2DAC">
      <w:pPr>
        <w:pStyle w:val="Heading2"/>
        <w:spacing w:before="180" w:after="100"/>
        <w:rPr>
          <w:rFonts w:asciiTheme="minorHAnsi" w:hAnsiTheme="minorHAnsi" w:cstheme="minorHAnsi"/>
          <w:b/>
          <w:bCs/>
          <w:color w:val="auto"/>
          <w:sz w:val="24"/>
          <w:szCs w:val="24"/>
        </w:rPr>
      </w:pPr>
    </w:p>
    <w:p w14:paraId="45169774" w14:textId="77777777" w:rsidR="00E3545F" w:rsidRDefault="00E3545F">
      <w:pPr>
        <w:pStyle w:val="Heading2"/>
        <w:spacing w:before="180" w:after="100"/>
        <w:rPr>
          <w:rFonts w:asciiTheme="minorHAnsi" w:hAnsiTheme="minorHAnsi" w:cstheme="minorHAnsi"/>
          <w:b/>
          <w:bCs/>
          <w:color w:val="auto"/>
          <w:sz w:val="24"/>
          <w:szCs w:val="24"/>
        </w:rPr>
      </w:pPr>
    </w:p>
    <w:p w14:paraId="0F106FFE" w14:textId="7F03851D"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lastRenderedPageBreak/>
        <w:t>Model Comparison (average across 6 buildings)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1900"/>
      </w:tblGrid>
      <w:tr w:rsidR="008C7B00" w:rsidRPr="007B2DAC" w14:paraId="0B2319A0" w14:textId="77777777">
        <w:tblPrEx>
          <w:tblCellMar>
            <w:top w:w="0" w:type="dxa"/>
            <w:bottom w:w="0" w:type="dxa"/>
          </w:tblCellMar>
        </w:tblPrEx>
        <w:tc>
          <w:tcPr>
            <w:tcW w:w="3200" w:type="dxa"/>
            <w:shd w:val="clear" w:color="auto" w:fill="2C3E50"/>
          </w:tcPr>
          <w:p w14:paraId="04A5199A"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Model</w:t>
            </w:r>
          </w:p>
        </w:tc>
        <w:tc>
          <w:tcPr>
            <w:tcW w:w="2200" w:type="dxa"/>
            <w:shd w:val="clear" w:color="auto" w:fill="2C3E50"/>
          </w:tcPr>
          <w:p w14:paraId="4CD3D082"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MAE (kWh)</w:t>
            </w:r>
          </w:p>
        </w:tc>
        <w:tc>
          <w:tcPr>
            <w:tcW w:w="2200" w:type="dxa"/>
            <w:shd w:val="clear" w:color="auto" w:fill="2C3E50"/>
          </w:tcPr>
          <w:p w14:paraId="74F2E177"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RMSE (kWh)</w:t>
            </w:r>
          </w:p>
        </w:tc>
        <w:tc>
          <w:tcPr>
            <w:tcW w:w="1900" w:type="dxa"/>
            <w:shd w:val="clear" w:color="auto" w:fill="2C3E50"/>
          </w:tcPr>
          <w:p w14:paraId="24C0950F"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MAPE (%)</w:t>
            </w:r>
          </w:p>
        </w:tc>
      </w:tr>
      <w:tr w:rsidR="008C7B00" w:rsidRPr="007B2DAC" w14:paraId="25E95062" w14:textId="77777777">
        <w:tblPrEx>
          <w:tblCellMar>
            <w:top w:w="0" w:type="dxa"/>
            <w:bottom w:w="0" w:type="dxa"/>
          </w:tblCellMar>
        </w:tblPrEx>
        <w:tc>
          <w:tcPr>
            <w:tcW w:w="3200" w:type="dxa"/>
          </w:tcPr>
          <w:p w14:paraId="5C9AB2F0"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Prophet</w:t>
            </w:r>
          </w:p>
        </w:tc>
        <w:tc>
          <w:tcPr>
            <w:tcW w:w="2200" w:type="dxa"/>
          </w:tcPr>
          <w:p w14:paraId="35CF9AA6"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100.3</w:t>
            </w:r>
          </w:p>
        </w:tc>
        <w:tc>
          <w:tcPr>
            <w:tcW w:w="2200" w:type="dxa"/>
          </w:tcPr>
          <w:p w14:paraId="786C96A3"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132.1</w:t>
            </w:r>
          </w:p>
        </w:tc>
        <w:tc>
          <w:tcPr>
            <w:tcW w:w="1900" w:type="dxa"/>
          </w:tcPr>
          <w:p w14:paraId="78DBDE3A"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6.56</w:t>
            </w:r>
          </w:p>
        </w:tc>
      </w:tr>
      <w:tr w:rsidR="008C7B00" w:rsidRPr="007B2DAC" w14:paraId="6F606D15" w14:textId="77777777">
        <w:tblPrEx>
          <w:tblCellMar>
            <w:top w:w="0" w:type="dxa"/>
            <w:bottom w:w="0" w:type="dxa"/>
          </w:tblCellMar>
        </w:tblPrEx>
        <w:tc>
          <w:tcPr>
            <w:tcW w:w="3200" w:type="dxa"/>
          </w:tcPr>
          <w:p w14:paraId="02BD7614"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ARIMA</w:t>
            </w:r>
          </w:p>
        </w:tc>
        <w:tc>
          <w:tcPr>
            <w:tcW w:w="2200" w:type="dxa"/>
          </w:tcPr>
          <w:p w14:paraId="396792C4"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368.4</w:t>
            </w:r>
          </w:p>
        </w:tc>
        <w:tc>
          <w:tcPr>
            <w:tcW w:w="2200" w:type="dxa"/>
          </w:tcPr>
          <w:p w14:paraId="55763734"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455.4</w:t>
            </w:r>
          </w:p>
        </w:tc>
        <w:tc>
          <w:tcPr>
            <w:tcW w:w="1900" w:type="dxa"/>
          </w:tcPr>
          <w:p w14:paraId="3330BA1B"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20.59</w:t>
            </w:r>
          </w:p>
        </w:tc>
      </w:tr>
      <w:tr w:rsidR="008C7B00" w:rsidRPr="007B2DAC" w14:paraId="6D561827" w14:textId="77777777">
        <w:tblPrEx>
          <w:tblCellMar>
            <w:top w:w="0" w:type="dxa"/>
            <w:bottom w:w="0" w:type="dxa"/>
          </w:tblCellMar>
        </w:tblPrEx>
        <w:tc>
          <w:tcPr>
            <w:tcW w:w="3200" w:type="dxa"/>
          </w:tcPr>
          <w:p w14:paraId="61459F36" w14:textId="77777777" w:rsidR="008C7B00" w:rsidRPr="007B2DAC" w:rsidRDefault="00000000">
            <w:pPr>
              <w:rPr>
                <w:rFonts w:asciiTheme="minorHAnsi" w:hAnsiTheme="minorHAnsi" w:cstheme="minorHAnsi"/>
                <w:sz w:val="24"/>
                <w:szCs w:val="24"/>
              </w:rPr>
            </w:pPr>
            <w:proofErr w:type="spellStart"/>
            <w:r w:rsidRPr="007B2DAC">
              <w:rPr>
                <w:rFonts w:asciiTheme="minorHAnsi" w:hAnsiTheme="minorHAnsi" w:cstheme="minorHAnsi"/>
                <w:color w:val="000000"/>
                <w:sz w:val="24"/>
                <w:szCs w:val="24"/>
              </w:rPr>
              <w:t>XGBoost</w:t>
            </w:r>
            <w:proofErr w:type="spellEnd"/>
            <w:r w:rsidRPr="007B2DAC">
              <w:rPr>
                <w:rFonts w:asciiTheme="minorHAnsi" w:hAnsiTheme="minorHAnsi" w:cstheme="minorHAnsi"/>
                <w:color w:val="000000"/>
                <w:sz w:val="24"/>
                <w:szCs w:val="24"/>
              </w:rPr>
              <w:t xml:space="preserve"> (selected)</w:t>
            </w:r>
          </w:p>
        </w:tc>
        <w:tc>
          <w:tcPr>
            <w:tcW w:w="2200" w:type="dxa"/>
          </w:tcPr>
          <w:p w14:paraId="46F9B9B3"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62.0</w:t>
            </w:r>
          </w:p>
        </w:tc>
        <w:tc>
          <w:tcPr>
            <w:tcW w:w="2200" w:type="dxa"/>
          </w:tcPr>
          <w:p w14:paraId="7555F51F"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76.8</w:t>
            </w:r>
          </w:p>
        </w:tc>
        <w:tc>
          <w:tcPr>
            <w:tcW w:w="1900" w:type="dxa"/>
          </w:tcPr>
          <w:p w14:paraId="7DA99215"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3.95</w:t>
            </w:r>
          </w:p>
        </w:tc>
      </w:tr>
    </w:tbl>
    <w:p w14:paraId="1AE978FF" w14:textId="77777777" w:rsidR="008C7B00" w:rsidRPr="007B2DAC" w:rsidRDefault="008C7B00">
      <w:pPr>
        <w:spacing w:after="120"/>
        <w:rPr>
          <w:rFonts w:asciiTheme="minorHAnsi" w:hAnsiTheme="minorHAnsi" w:cstheme="minorHAnsi"/>
          <w:sz w:val="24"/>
          <w:szCs w:val="24"/>
        </w:rPr>
      </w:pPr>
    </w:p>
    <w:p w14:paraId="09D3869D"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 xml:space="preserve">Why </w:t>
      </w:r>
      <w:proofErr w:type="spellStart"/>
      <w:r w:rsidRPr="007B2DAC">
        <w:rPr>
          <w:rFonts w:asciiTheme="minorHAnsi" w:hAnsiTheme="minorHAnsi" w:cstheme="minorHAnsi"/>
          <w:b/>
          <w:bCs/>
          <w:color w:val="auto"/>
          <w:sz w:val="24"/>
          <w:szCs w:val="24"/>
        </w:rPr>
        <w:t>XGBoost</w:t>
      </w:r>
      <w:proofErr w:type="spellEnd"/>
      <w:r w:rsidRPr="007B2DAC">
        <w:rPr>
          <w:rFonts w:asciiTheme="minorHAnsi" w:hAnsiTheme="minorHAnsi" w:cstheme="minorHAnsi"/>
          <w:b/>
          <w:bCs/>
          <w:color w:val="auto"/>
          <w:sz w:val="24"/>
          <w:szCs w:val="24"/>
        </w:rPr>
        <w:t xml:space="preserve"> Was Selected</w:t>
      </w:r>
    </w:p>
    <w:p w14:paraId="12DFDC73" w14:textId="77777777" w:rsidR="008C7B00" w:rsidRPr="007B2DAC" w:rsidRDefault="00000000">
      <w:pPr>
        <w:spacing w:after="100"/>
        <w:rPr>
          <w:rFonts w:asciiTheme="minorHAnsi" w:hAnsiTheme="minorHAnsi" w:cstheme="minorHAnsi"/>
          <w:sz w:val="24"/>
          <w:szCs w:val="24"/>
        </w:rPr>
      </w:pPr>
      <w:proofErr w:type="spellStart"/>
      <w:r w:rsidRPr="007B2DAC">
        <w:rPr>
          <w:rFonts w:asciiTheme="minorHAnsi" w:hAnsiTheme="minorHAnsi" w:cstheme="minorHAnsi"/>
          <w:sz w:val="24"/>
          <w:szCs w:val="24"/>
        </w:rPr>
        <w:t>XGBoost</w:t>
      </w:r>
      <w:proofErr w:type="spellEnd"/>
      <w:r w:rsidRPr="007B2DAC">
        <w:rPr>
          <w:rFonts w:asciiTheme="minorHAnsi" w:hAnsiTheme="minorHAnsi" w:cstheme="minorHAnsi"/>
          <w:sz w:val="24"/>
          <w:szCs w:val="24"/>
        </w:rPr>
        <w:t xml:space="preserve"> achieved the lowest MAPE (3.95% vs 6.56% for Prophet and 20.59% for ARIMA). Unlike Prophet and ARIMA, which require a separate model per building (6 models), </w:t>
      </w:r>
      <w:proofErr w:type="spellStart"/>
      <w:r w:rsidRPr="007B2DAC">
        <w:rPr>
          <w:rFonts w:asciiTheme="minorHAnsi" w:hAnsiTheme="minorHAnsi" w:cstheme="minorHAnsi"/>
          <w:sz w:val="24"/>
          <w:szCs w:val="24"/>
        </w:rPr>
        <w:t>XGBoost</w:t>
      </w:r>
      <w:proofErr w:type="spellEnd"/>
      <w:r w:rsidRPr="007B2DAC">
        <w:rPr>
          <w:rFonts w:asciiTheme="minorHAnsi" w:hAnsiTheme="minorHAnsi" w:cstheme="minorHAnsi"/>
          <w:sz w:val="24"/>
          <w:szCs w:val="24"/>
        </w:rPr>
        <w:t xml:space="preserve"> uses ONE model across all buildings via lag features, rolling averages, and </w:t>
      </w:r>
      <w:proofErr w:type="spellStart"/>
      <w:r w:rsidRPr="007B2DAC">
        <w:rPr>
          <w:rFonts w:asciiTheme="minorHAnsi" w:hAnsiTheme="minorHAnsi" w:cstheme="minorHAnsi"/>
          <w:sz w:val="24"/>
          <w:szCs w:val="24"/>
        </w:rPr>
        <w:t>building_id</w:t>
      </w:r>
      <w:proofErr w:type="spellEnd"/>
      <w:r w:rsidRPr="007B2DAC">
        <w:rPr>
          <w:rFonts w:asciiTheme="minorHAnsi" w:hAnsiTheme="minorHAnsi" w:cstheme="minorHAnsi"/>
          <w:sz w:val="24"/>
          <w:szCs w:val="24"/>
        </w:rPr>
        <w:t xml:space="preserve"> as a categorical feature — more scalable and practical to retrain daily in production. It also directly incorporates exogenous drivers (occupancy, temperature) that plausibly affect load.</w:t>
      </w:r>
    </w:p>
    <w:p w14:paraId="3118F016"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Important Features</w:t>
      </w:r>
    </w:p>
    <w:p w14:paraId="24BF3A56"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lag_24h (same hour, previous day) — 54.7% importance</w:t>
      </w:r>
    </w:p>
    <w:p w14:paraId="572DAD83"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lag_1h (previous hour) — 34.2% importance</w:t>
      </w:r>
    </w:p>
    <w:p w14:paraId="0E66643E" w14:textId="77777777" w:rsidR="008C7B00" w:rsidRPr="007B2DAC" w:rsidRDefault="00000000">
      <w:pPr>
        <w:pStyle w:val="ListParagraph"/>
        <w:numPr>
          <w:ilvl w:val="0"/>
          <w:numId w:val="1"/>
        </w:numPr>
        <w:spacing w:after="60"/>
        <w:rPr>
          <w:rFonts w:asciiTheme="minorHAnsi" w:hAnsiTheme="minorHAnsi" w:cstheme="minorHAnsi"/>
          <w:sz w:val="24"/>
          <w:szCs w:val="24"/>
        </w:rPr>
      </w:pPr>
      <w:proofErr w:type="spellStart"/>
      <w:r w:rsidRPr="007B2DAC">
        <w:rPr>
          <w:rFonts w:asciiTheme="minorHAnsi" w:hAnsiTheme="minorHAnsi" w:cstheme="minorHAnsi"/>
          <w:sz w:val="24"/>
          <w:szCs w:val="24"/>
        </w:rPr>
        <w:t>building_id</w:t>
      </w:r>
      <w:proofErr w:type="spellEnd"/>
      <w:r w:rsidRPr="007B2DAC">
        <w:rPr>
          <w:rFonts w:asciiTheme="minorHAnsi" w:hAnsiTheme="minorHAnsi" w:cstheme="minorHAnsi"/>
          <w:sz w:val="24"/>
          <w:szCs w:val="24"/>
        </w:rPr>
        <w:t xml:space="preserve"> — 6.6% importance</w:t>
      </w:r>
    </w:p>
    <w:p w14:paraId="09205659"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Energy consumption is highly autocorrelated — recent history is by far the strongest signal, more than time-of-day or occupancy alone.</w:t>
      </w:r>
    </w:p>
    <w:p w14:paraId="389D542C"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Business Impact</w:t>
      </w:r>
    </w:p>
    <w:p w14:paraId="06B2EC89"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A reliable 24h-ahead forecast (average 3.95% error) enables proactive load shifting (pre-cooling during off-peak pricing), demand-response readiness (flagging buildings likely to peak during high-price hours), and can serve as an anomaly baseline — actual consumption significantly exceeding the forecast is itself an early-warning signal.</w:t>
      </w:r>
    </w:p>
    <w:p w14:paraId="1929015D" w14:textId="77777777"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5. Task 4 — Anomaly Detection</w:t>
      </w:r>
    </w:p>
    <w:p w14:paraId="55260C19"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Approach</w:t>
      </w:r>
    </w:p>
    <w:p w14:paraId="2FAB0794"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Isolation Forest was selected as the primary technique (over Autoencoders, Clustering, and Change Point Detection) for its native handling of multivariate data without distributional assumptions, computational efficiency at scale, and continuous anomaly-score output for severity ranking. Statistical (z-score) thresholding was implemented as a secondary, explainable cross-check.</w:t>
      </w:r>
    </w:p>
    <w:p w14:paraId="4F4E9334"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Results</w:t>
      </w:r>
    </w:p>
    <w:p w14:paraId="147214F3"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3,572 anomalous readings flagged (2.00% of 178,560 total, matching the configured contamination rate).</w:t>
      </w:r>
    </w:p>
    <w:p w14:paraId="779A66B2"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Two assets — SITE-02-BLDG-01-AST-005 (1,027) and SITE-01-BLDG-01-AST-000 (973) — account for 56% of all flagged anomalies, indicating concentrated risk rather than fleet-wide noise.</w:t>
      </w:r>
    </w:p>
    <w:p w14:paraId="7962B23F"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lastRenderedPageBreak/>
        <w:t>6,947 readings showed sustained degradation trends (rising vibration/temperature slope) — a leading indicator ahead of outright anomalies.</w:t>
      </w:r>
    </w:p>
    <w:p w14:paraId="5A5D1731"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Only 1.1% overlap between Isolation Forest and statistical z-score flags, confirming the multivariate method catches different (and additional) anomaly patterns than single-sensor thresholding alone.</w:t>
      </w:r>
    </w:p>
    <w:p w14:paraId="404F99D4"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 xml:space="preserve">Only 5.3% of historical </w:t>
      </w:r>
      <w:proofErr w:type="spellStart"/>
      <w:r w:rsidRPr="007B2DAC">
        <w:rPr>
          <w:rFonts w:asciiTheme="minorHAnsi" w:hAnsiTheme="minorHAnsi" w:cstheme="minorHAnsi"/>
          <w:sz w:val="24"/>
          <w:szCs w:val="24"/>
        </w:rPr>
        <w:t>fault_flag</w:t>
      </w:r>
      <w:proofErr w:type="spellEnd"/>
      <w:r w:rsidRPr="007B2DAC">
        <w:rPr>
          <w:rFonts w:asciiTheme="minorHAnsi" w:hAnsiTheme="minorHAnsi" w:cstheme="minorHAnsi"/>
          <w:sz w:val="24"/>
          <w:szCs w:val="24"/>
        </w:rPr>
        <w:t xml:space="preserve"> events were preceded by a detected anomaly — an honest limitation suggesting the current contamination threshold or feature set has room for improvement before full production reliance.</w:t>
      </w:r>
    </w:p>
    <w:p w14:paraId="48CD2A7D"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Business Recommendations</w:t>
      </w:r>
    </w:p>
    <w:p w14:paraId="01E3DA66"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Prioritize physical inspection of the top two anomalous assets first — they represent the clearest signal of a genuine, ongoing issue.</w:t>
      </w:r>
    </w:p>
    <w:p w14:paraId="1D3E3E7E"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Investigate assets with sustained degradation trends before they reach outright failure.</w:t>
      </w:r>
    </w:p>
    <w:p w14:paraId="77F02D88"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Deploy the fitted pipeline against live Kafka telemetry for real-time scoring rather than periodic batch runs.</w:t>
      </w:r>
    </w:p>
    <w:p w14:paraId="540FAF5E"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Establish a technician feedback loop (confirmed anomaly vs. false alarm) to improve the 5.3% fault-correlation rate over time.</w:t>
      </w:r>
    </w:p>
    <w:p w14:paraId="78C797D0" w14:textId="77777777"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6. Task 5 — Multi-Asset Connectivity Analysis</w:t>
      </w:r>
    </w:p>
    <w:p w14:paraId="1C1811A2"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Approach</w:t>
      </w:r>
    </w:p>
    <w:p w14:paraId="62692C1F"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A directed graph (</w:t>
      </w:r>
      <w:proofErr w:type="spellStart"/>
      <w:r w:rsidRPr="007B2DAC">
        <w:rPr>
          <w:rFonts w:asciiTheme="minorHAnsi" w:hAnsiTheme="minorHAnsi" w:cstheme="minorHAnsi"/>
          <w:sz w:val="24"/>
          <w:szCs w:val="24"/>
        </w:rPr>
        <w:t>NetworkX</w:t>
      </w:r>
      <w:proofErr w:type="spellEnd"/>
      <w:r w:rsidRPr="007B2DAC">
        <w:rPr>
          <w:rFonts w:asciiTheme="minorHAnsi" w:hAnsiTheme="minorHAnsi" w:cstheme="minorHAnsi"/>
          <w:sz w:val="24"/>
          <w:szCs w:val="24"/>
        </w:rPr>
        <w:t>) was built from asset_metadata.csv (</w:t>
      </w:r>
      <w:proofErr w:type="spellStart"/>
      <w:r w:rsidRPr="007B2DAC">
        <w:rPr>
          <w:rFonts w:asciiTheme="minorHAnsi" w:hAnsiTheme="minorHAnsi" w:cstheme="minorHAnsi"/>
          <w:sz w:val="24"/>
          <w:szCs w:val="24"/>
        </w:rPr>
        <w:t>parent_asset_id</w:t>
      </w:r>
      <w:proofErr w:type="spellEnd"/>
      <w:r w:rsidRPr="007B2DAC">
        <w:rPr>
          <w:rFonts w:asciiTheme="minorHAnsi" w:hAnsiTheme="minorHAnsi" w:cstheme="minorHAnsi"/>
          <w:sz w:val="24"/>
          <w:szCs w:val="24"/>
        </w:rPr>
        <w:t xml:space="preserve"> hierarchy: Chiller/Pump as root nodes, AHU/Sensor/Meter as children) and asset_connectivity.csv (Supplies/Controls/Monitors edges), enabling hierarchy visualization, downstream dependency queries, and failure-impact/propagation analysis.</w:t>
      </w:r>
    </w:p>
    <w:p w14:paraId="77CE8AE8"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Key Results</w:t>
      </w:r>
    </w:p>
    <w:p w14:paraId="49B3EAD4"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62 assets, 57 connectivity edges, 37 hierarchy (parent-child) edges, 17 root assets (Chillers/Pumps with children).</w:t>
      </w:r>
    </w:p>
    <w:p w14:paraId="1644AD4C" w14:textId="77777777" w:rsidR="008C7B00" w:rsidRPr="007B2DAC" w:rsidRDefault="00000000">
      <w:pPr>
        <w:pStyle w:val="ListParagraph"/>
        <w:numPr>
          <w:ilvl w:val="0"/>
          <w:numId w:val="1"/>
        </w:numPr>
        <w:spacing w:after="60"/>
        <w:rPr>
          <w:rFonts w:asciiTheme="minorHAnsi" w:hAnsiTheme="minorHAnsi" w:cstheme="minorHAnsi"/>
          <w:sz w:val="24"/>
          <w:szCs w:val="24"/>
        </w:rPr>
      </w:pPr>
      <w:r w:rsidRPr="007B2DAC">
        <w:rPr>
          <w:rFonts w:asciiTheme="minorHAnsi" w:hAnsiTheme="minorHAnsi" w:cstheme="minorHAnsi"/>
          <w:sz w:val="24"/>
          <w:szCs w:val="24"/>
        </w:rPr>
        <w:t>Failure impact example: a single Chiller failure propagates to all downstream AHUs, environmental sensors, and energy meters connected to it — directly informing which assets to prioritize during an outage.</w:t>
      </w:r>
    </w:p>
    <w:p w14:paraId="63B8EDC3"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Data Quality Findings</w:t>
      </w:r>
    </w:p>
    <w:tbl>
      <w:tblPr>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665"/>
      </w:tblGrid>
      <w:tr w:rsidR="008C7B00" w:rsidRPr="007B2DAC" w14:paraId="483F65BE" w14:textId="77777777" w:rsidTr="007B2DAC">
        <w:tblPrEx>
          <w:tblCellMar>
            <w:top w:w="0" w:type="dxa"/>
            <w:bottom w:w="0" w:type="dxa"/>
          </w:tblCellMar>
        </w:tblPrEx>
        <w:tc>
          <w:tcPr>
            <w:tcW w:w="5000" w:type="dxa"/>
            <w:shd w:val="clear" w:color="auto" w:fill="2C3E50"/>
          </w:tcPr>
          <w:p w14:paraId="488631AC"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Issue</w:t>
            </w:r>
          </w:p>
        </w:tc>
        <w:tc>
          <w:tcPr>
            <w:tcW w:w="665" w:type="dxa"/>
            <w:shd w:val="clear" w:color="auto" w:fill="2C3E50"/>
          </w:tcPr>
          <w:p w14:paraId="5F2C7989"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b/>
                <w:bCs/>
                <w:color w:val="FFFFFF"/>
                <w:sz w:val="24"/>
                <w:szCs w:val="24"/>
              </w:rPr>
              <w:t>Count</w:t>
            </w:r>
          </w:p>
        </w:tc>
      </w:tr>
      <w:tr w:rsidR="008C7B00" w:rsidRPr="007B2DAC" w14:paraId="07DF159C" w14:textId="77777777" w:rsidTr="007B2DAC">
        <w:tblPrEx>
          <w:tblCellMar>
            <w:top w:w="0" w:type="dxa"/>
            <w:bottom w:w="0" w:type="dxa"/>
          </w:tblCellMar>
        </w:tblPrEx>
        <w:tc>
          <w:tcPr>
            <w:tcW w:w="5000" w:type="dxa"/>
          </w:tcPr>
          <w:p w14:paraId="432F1638"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Orphan assets (no connectivity edges)</w:t>
            </w:r>
          </w:p>
        </w:tc>
        <w:tc>
          <w:tcPr>
            <w:tcW w:w="665" w:type="dxa"/>
          </w:tcPr>
          <w:p w14:paraId="00744747"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7</w:t>
            </w:r>
          </w:p>
        </w:tc>
      </w:tr>
      <w:tr w:rsidR="008C7B00" w:rsidRPr="007B2DAC" w14:paraId="1F8618D5" w14:textId="77777777" w:rsidTr="007B2DAC">
        <w:tblPrEx>
          <w:tblCellMar>
            <w:top w:w="0" w:type="dxa"/>
            <w:bottom w:w="0" w:type="dxa"/>
          </w:tblCellMar>
        </w:tblPrEx>
        <w:tc>
          <w:tcPr>
            <w:tcW w:w="5000" w:type="dxa"/>
          </w:tcPr>
          <w:p w14:paraId="144CB899"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Duplicate connections</w:t>
            </w:r>
          </w:p>
        </w:tc>
        <w:tc>
          <w:tcPr>
            <w:tcW w:w="665" w:type="dxa"/>
          </w:tcPr>
          <w:p w14:paraId="5E528A07"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6</w:t>
            </w:r>
          </w:p>
        </w:tc>
      </w:tr>
      <w:tr w:rsidR="008C7B00" w:rsidRPr="007B2DAC" w14:paraId="762FEF0A" w14:textId="77777777" w:rsidTr="007B2DAC">
        <w:tblPrEx>
          <w:tblCellMar>
            <w:top w:w="0" w:type="dxa"/>
            <w:bottom w:w="0" w:type="dxa"/>
          </w:tblCellMar>
        </w:tblPrEx>
        <w:tc>
          <w:tcPr>
            <w:tcW w:w="5000" w:type="dxa"/>
          </w:tcPr>
          <w:p w14:paraId="76735CEC"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Invalid edges (reference unknown asset)</w:t>
            </w:r>
          </w:p>
        </w:tc>
        <w:tc>
          <w:tcPr>
            <w:tcW w:w="665" w:type="dxa"/>
          </w:tcPr>
          <w:p w14:paraId="42C0B6C1"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1</w:t>
            </w:r>
          </w:p>
        </w:tc>
      </w:tr>
      <w:tr w:rsidR="008C7B00" w:rsidRPr="007B2DAC" w14:paraId="49736D1E" w14:textId="77777777" w:rsidTr="007B2DAC">
        <w:tblPrEx>
          <w:tblCellMar>
            <w:top w:w="0" w:type="dxa"/>
            <w:bottom w:w="0" w:type="dxa"/>
          </w:tblCellMar>
        </w:tblPrEx>
        <w:tc>
          <w:tcPr>
            <w:tcW w:w="5000" w:type="dxa"/>
          </w:tcPr>
          <w:p w14:paraId="27F2462D"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Invalid parent-child mappings</w:t>
            </w:r>
          </w:p>
        </w:tc>
        <w:tc>
          <w:tcPr>
            <w:tcW w:w="665" w:type="dxa"/>
          </w:tcPr>
          <w:p w14:paraId="147AE36C" w14:textId="77777777" w:rsidR="008C7B00" w:rsidRPr="007B2DAC" w:rsidRDefault="00000000">
            <w:pPr>
              <w:rPr>
                <w:rFonts w:asciiTheme="minorHAnsi" w:hAnsiTheme="minorHAnsi" w:cstheme="minorHAnsi"/>
                <w:sz w:val="24"/>
                <w:szCs w:val="24"/>
              </w:rPr>
            </w:pPr>
            <w:r w:rsidRPr="007B2DAC">
              <w:rPr>
                <w:rFonts w:asciiTheme="minorHAnsi" w:hAnsiTheme="minorHAnsi" w:cstheme="minorHAnsi"/>
                <w:color w:val="000000"/>
                <w:sz w:val="24"/>
                <w:szCs w:val="24"/>
              </w:rPr>
              <w:t>0</w:t>
            </w:r>
          </w:p>
        </w:tc>
      </w:tr>
    </w:tbl>
    <w:p w14:paraId="6C2DEB4B" w14:textId="77777777" w:rsidR="008C7B00" w:rsidRPr="007B2DAC" w:rsidRDefault="008C7B00">
      <w:pPr>
        <w:spacing w:after="120"/>
        <w:rPr>
          <w:rFonts w:asciiTheme="minorHAnsi" w:hAnsiTheme="minorHAnsi" w:cstheme="minorHAnsi"/>
          <w:sz w:val="24"/>
          <w:szCs w:val="24"/>
        </w:rPr>
      </w:pPr>
    </w:p>
    <w:p w14:paraId="21B79FB7" w14:textId="77777777" w:rsidR="007B2DAC" w:rsidRDefault="007B2DAC">
      <w:pPr>
        <w:pStyle w:val="Heading2"/>
        <w:spacing w:before="180" w:after="100"/>
        <w:rPr>
          <w:rFonts w:asciiTheme="minorHAnsi" w:hAnsiTheme="minorHAnsi" w:cstheme="minorHAnsi"/>
          <w:sz w:val="24"/>
          <w:szCs w:val="24"/>
        </w:rPr>
      </w:pPr>
    </w:p>
    <w:p w14:paraId="38A87C74" w14:textId="14B292D5"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lastRenderedPageBreak/>
        <w:t>Recommended Mitigation</w:t>
      </w:r>
    </w:p>
    <w:p w14:paraId="32BB50AC"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Investigate the 7 orphan assets — likely missing sensor/meter linkage in the source system rather than genuinely standalone equipment. Remove or correct the single invalid edge referencing a non-existent asset ID before this data feeds any downstream automation.</w:t>
      </w:r>
    </w:p>
    <w:p w14:paraId="5DAD55D0" w14:textId="77777777" w:rsidR="007B2DAC" w:rsidRDefault="007B2DAC">
      <w:pPr>
        <w:pStyle w:val="Heading1"/>
        <w:spacing w:before="240" w:after="120"/>
        <w:rPr>
          <w:rFonts w:asciiTheme="minorHAnsi" w:hAnsiTheme="minorHAnsi" w:cstheme="minorHAnsi"/>
          <w:sz w:val="24"/>
          <w:szCs w:val="24"/>
        </w:rPr>
      </w:pPr>
    </w:p>
    <w:p w14:paraId="5712AADA" w14:textId="73CB69F8"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7. Bonus Deliverables</w:t>
      </w:r>
    </w:p>
    <w:p w14:paraId="02315B45" w14:textId="77777777" w:rsidR="008C7B00" w:rsidRPr="007B2DAC" w:rsidRDefault="00000000">
      <w:pPr>
        <w:pStyle w:val="Heading2"/>
        <w:spacing w:before="180" w:after="10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Interactive Dashboard (</w:t>
      </w:r>
      <w:proofErr w:type="spellStart"/>
      <w:r w:rsidRPr="007B2DAC">
        <w:rPr>
          <w:rFonts w:asciiTheme="minorHAnsi" w:hAnsiTheme="minorHAnsi" w:cstheme="minorHAnsi"/>
          <w:b/>
          <w:bCs/>
          <w:color w:val="auto"/>
          <w:sz w:val="24"/>
          <w:szCs w:val="24"/>
        </w:rPr>
        <w:t>Streamlit</w:t>
      </w:r>
      <w:proofErr w:type="spellEnd"/>
      <w:r w:rsidRPr="007B2DAC">
        <w:rPr>
          <w:rFonts w:asciiTheme="minorHAnsi" w:hAnsiTheme="minorHAnsi" w:cstheme="minorHAnsi"/>
          <w:b/>
          <w:bCs/>
          <w:color w:val="auto"/>
          <w:sz w:val="24"/>
          <w:szCs w:val="24"/>
        </w:rPr>
        <w:t>)</w:t>
      </w:r>
    </w:p>
    <w:p w14:paraId="3A871306" w14:textId="77777777"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A 6-tab dashboard (Site Overview, Asset Health, Failure Predictions, Energy Trends, Anomaly Alerts, Asset Connectivity) provides a unified operational view, filterable by site and building, with an interactive network graph and failure-impact lookup.</w:t>
      </w:r>
    </w:p>
    <w:p w14:paraId="7CD98A0B" w14:textId="77777777" w:rsidR="008C7B00" w:rsidRPr="007B2DAC" w:rsidRDefault="00000000">
      <w:pPr>
        <w:pStyle w:val="Heading1"/>
        <w:spacing w:before="240" w:after="120"/>
        <w:rPr>
          <w:rFonts w:asciiTheme="minorHAnsi" w:hAnsiTheme="minorHAnsi" w:cstheme="minorHAnsi"/>
          <w:b/>
          <w:bCs/>
          <w:color w:val="auto"/>
          <w:sz w:val="24"/>
          <w:szCs w:val="24"/>
        </w:rPr>
      </w:pPr>
      <w:r w:rsidRPr="007B2DAC">
        <w:rPr>
          <w:rFonts w:asciiTheme="minorHAnsi" w:hAnsiTheme="minorHAnsi" w:cstheme="minorHAnsi"/>
          <w:b/>
          <w:bCs/>
          <w:color w:val="auto"/>
          <w:sz w:val="24"/>
          <w:szCs w:val="24"/>
        </w:rPr>
        <w:t>8. Conclusion</w:t>
      </w:r>
    </w:p>
    <w:p w14:paraId="4091C161" w14:textId="10CBC183" w:rsidR="008C7B00" w:rsidRPr="007B2DAC" w:rsidRDefault="00000000">
      <w:pPr>
        <w:spacing w:after="100"/>
        <w:rPr>
          <w:rFonts w:asciiTheme="minorHAnsi" w:hAnsiTheme="minorHAnsi" w:cstheme="minorHAnsi"/>
          <w:sz w:val="24"/>
          <w:szCs w:val="24"/>
        </w:rPr>
      </w:pPr>
      <w:r w:rsidRPr="007B2DAC">
        <w:rPr>
          <w:rFonts w:asciiTheme="minorHAnsi" w:hAnsiTheme="minorHAnsi" w:cstheme="minorHAnsi"/>
          <w:sz w:val="24"/>
          <w:szCs w:val="24"/>
        </w:rPr>
        <w:t>This submission delivers all five required tasks plus both bonus components, with model selection justified by comparative evaluation rather than assumption. Feature importance findings are consistent across tasks — vibration emerges as the dominant equipment-health signal in both the EDA and the predictive maintenance model, reinforcing confidence in the underlying analysis.</w:t>
      </w:r>
    </w:p>
    <w:sectPr w:rsidR="008C7B00" w:rsidRPr="007B2D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30327"/>
    <w:multiLevelType w:val="hybridMultilevel"/>
    <w:tmpl w:val="1FF43146"/>
    <w:lvl w:ilvl="0" w:tplc="92042124">
      <w:start w:val="1"/>
      <w:numFmt w:val="bullet"/>
      <w:lvlText w:val="●"/>
      <w:lvlJc w:val="left"/>
      <w:pPr>
        <w:ind w:left="720" w:hanging="360"/>
      </w:pPr>
    </w:lvl>
    <w:lvl w:ilvl="1" w:tplc="EC8EA698">
      <w:start w:val="1"/>
      <w:numFmt w:val="bullet"/>
      <w:lvlText w:val="○"/>
      <w:lvlJc w:val="left"/>
      <w:pPr>
        <w:ind w:left="1440" w:hanging="360"/>
      </w:pPr>
    </w:lvl>
    <w:lvl w:ilvl="2" w:tplc="9AFC476C">
      <w:start w:val="1"/>
      <w:numFmt w:val="bullet"/>
      <w:lvlText w:val="■"/>
      <w:lvlJc w:val="left"/>
      <w:pPr>
        <w:ind w:left="2160" w:hanging="360"/>
      </w:pPr>
    </w:lvl>
    <w:lvl w:ilvl="3" w:tplc="6F8E0DF6">
      <w:start w:val="1"/>
      <w:numFmt w:val="bullet"/>
      <w:lvlText w:val="●"/>
      <w:lvlJc w:val="left"/>
      <w:pPr>
        <w:ind w:left="2880" w:hanging="360"/>
      </w:pPr>
    </w:lvl>
    <w:lvl w:ilvl="4" w:tplc="F1502DB0">
      <w:start w:val="1"/>
      <w:numFmt w:val="bullet"/>
      <w:lvlText w:val="○"/>
      <w:lvlJc w:val="left"/>
      <w:pPr>
        <w:ind w:left="3600" w:hanging="360"/>
      </w:pPr>
    </w:lvl>
    <w:lvl w:ilvl="5" w:tplc="43D2206A">
      <w:start w:val="1"/>
      <w:numFmt w:val="bullet"/>
      <w:lvlText w:val="■"/>
      <w:lvlJc w:val="left"/>
      <w:pPr>
        <w:ind w:left="4320" w:hanging="360"/>
      </w:pPr>
    </w:lvl>
    <w:lvl w:ilvl="6" w:tplc="059CA436">
      <w:start w:val="1"/>
      <w:numFmt w:val="bullet"/>
      <w:lvlText w:val="●"/>
      <w:lvlJc w:val="left"/>
      <w:pPr>
        <w:ind w:left="5040" w:hanging="360"/>
      </w:pPr>
    </w:lvl>
    <w:lvl w:ilvl="7" w:tplc="359AA224">
      <w:start w:val="1"/>
      <w:numFmt w:val="bullet"/>
      <w:lvlText w:val="●"/>
      <w:lvlJc w:val="left"/>
      <w:pPr>
        <w:ind w:left="5760" w:hanging="360"/>
      </w:pPr>
    </w:lvl>
    <w:lvl w:ilvl="8" w:tplc="CF0A72C2">
      <w:start w:val="1"/>
      <w:numFmt w:val="bullet"/>
      <w:lvlText w:val="●"/>
      <w:lvlJc w:val="left"/>
      <w:pPr>
        <w:ind w:left="6480" w:hanging="360"/>
      </w:pPr>
    </w:lvl>
  </w:abstractNum>
  <w:num w:numId="1" w16cid:durableId="905578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B00"/>
    <w:rsid w:val="003D5FF6"/>
    <w:rsid w:val="007B2DAC"/>
    <w:rsid w:val="008C7B00"/>
    <w:rsid w:val="00E3545F"/>
    <w:rsid w:val="00F62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B6C2"/>
  <w15:docId w15:val="{D6C0A7F5-ECE0-43E9-8E94-8A2D2CAC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Arunkumar A</cp:lastModifiedBy>
  <cp:revision>3</cp:revision>
  <dcterms:created xsi:type="dcterms:W3CDTF">2026-08-17T11:18:00Z</dcterms:created>
  <dcterms:modified xsi:type="dcterms:W3CDTF">2026-08-17T13:06:00Z</dcterms:modified>
</cp:coreProperties>
</file>