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4"/>
          <w:szCs w:val="24"/>
        </w:rPr>
        <w:t xml:space="preserve">Dhir Parekh</w:t>
      </w:r>
    </w:p>
    <w:p>
      <w:pPr>
        <w:spacing w:after="60"/>
      </w:pPr>
      <w:r>
        <w:rPr>
          <w:rFonts w:ascii="Times New Roman" w:cs="Times New Roman" w:eastAsia="Times New Roman" w:hAnsi="Times New Roman"/>
          <w:sz w:val="24"/>
          <w:szCs w:val="24"/>
        </w:rPr>
        <w:t xml:space="preserve">BMEN 207 — Honors Project</w:t>
      </w:r>
    </w:p>
    <w:p>
      <w:pPr>
        <w:spacing w:after="60"/>
      </w:pPr>
      <w:r>
        <w:rPr>
          <w:rFonts w:ascii="Times New Roman" w:cs="Times New Roman" w:eastAsia="Times New Roman" w:hAnsi="Times New Roman"/>
          <w:sz w:val="24"/>
          <w:szCs w:val="24"/>
        </w:rPr>
        <w:t xml:space="preserve">Brain Tumor MRI Classification</w:t>
      </w:r>
    </w:p>
    <w:p>
      <w:pPr>
        <w:spacing w:after="280"/>
      </w:pPr>
      <w:r>
        <w:rPr>
          <w:rFonts w:ascii="Times New Roman" w:cs="Times New Roman" w:eastAsia="Times New Roman" w:hAnsi="Times New Roman"/>
          <w:sz w:val="24"/>
          <w:szCs w:val="24"/>
        </w:rPr>
        <w:t xml:space="preserve">March 28, 2026</w:t>
      </w:r>
    </w:p>
    <w:p>
      <w:pPr>
        <w:spacing w:after="280"/>
        <w:jc w:val="center"/>
      </w:pPr>
      <w:r>
        <w:rPr>
          <w:rFonts w:ascii="Times New Roman" w:cs="Times New Roman" w:eastAsia="Times New Roman" w:hAnsi="Times New Roman"/>
          <w:b/>
          <w:bCs/>
          <w:sz w:val="24"/>
          <w:szCs w:val="24"/>
        </w:rPr>
        <w:t xml:space="preserve">Individual Status Report — Milestone 1</w:t>
      </w:r>
    </w:p>
    <w:p>
      <w:pPr>
        <w:spacing w:after="160"/>
      </w:pPr>
      <w:r>
        <w:rPr>
          <w:rFonts w:ascii="Times New Roman" w:cs="Times New Roman" w:eastAsia="Times New Roman" w:hAnsi="Times New Roman"/>
          <w:sz w:val="24"/>
          <w:szCs w:val="24"/>
        </w:rPr>
        <w:t xml:space="preserve">As of March 28, 2026, the project is on schedule through Milestone 1. Seven of the twenty planned tasks have been completed, covering the full data collection phase and the majority of preprocessing. The team has successfully acquired the Kaggle MRI dataset of over 7,000 labeled images across four classes (glioma, meningioma, pituitary tumor, and no tumor), established the Python virtual environment with all required libraries, and produced a clean, augmented dataset ready to feed into the model development phase. The next major milestone involves designing and training the CNN model, which is scheduled to begin in the coming week. No tasks are currently behind schedule, and the overall project trajectory is healthy.</w:t>
      </w:r>
    </w:p>
    <w:p>
      <w:pPr>
        <w:spacing w:after="160"/>
      </w:pPr>
      <w:r>
        <w:rPr>
          <w:rFonts w:ascii="Times New Roman" w:cs="Times New Roman" w:eastAsia="Times New Roman" w:hAnsi="Times New Roman"/>
          <w:sz w:val="24"/>
          <w:szCs w:val="24"/>
        </w:rPr>
        <w:t xml:space="preserve">My individual contributions during this milestone centered primarily on the data preparation pipeline. I set up the initial project folder structure, organizing all directories for raw data, processed data, scripts, notebooks, models, and outputs. While the team originally divided tasks by initial assignment, we shifted responsibilities mid-milestone to better match each member’s strengths, and I ended up taking on the bulk of the preprocessing work. Specifically, I conducted the full dataset audit, examining class distributions, image dimensions, and file format consistency. I then built the preprocessing pipeline to resize all images to a uniform resolution, normalize pixel values, and standardize grayscale and RGB formatting. I also implemented data augmentation using the Albumentations library, applying random flips, rotations, and contrast adjustments to expand training diversity and reduce the risk of overfitting. Finally, I performed the stratified train/test split, allocating 1,400 images per class to training and 400 per class to testing to ensure balanced class representation across both sets.</w:t>
      </w:r>
    </w:p>
    <w:p>
      <w:pPr>
        <w:spacing w:after="160"/>
      </w:pPr>
      <w:r>
        <w:rPr>
          <w:rFonts w:ascii="Times New Roman" w:cs="Times New Roman" w:eastAsia="Times New Roman" w:hAnsi="Times New Roman"/>
          <w:sz w:val="24"/>
          <w:szCs w:val="24"/>
        </w:rPr>
        <w:t xml:space="preserve">In addition to hands-on coding work, I invested significant time in research and knowledge development to support the project’s later stages. I reviewed published papers and community resources on GitHub and Kaggle focused on CNN-based MRI classification, transfer learning approaches, and Grad-CAM explainability methods. I used YouTube tutorials and technical walkthroughs to build a stronger understanding of PyTorch DataLoader design and model evaluation techniques. I also utilized AI-assisted tools to help develop a structured workflow framework, which allowed the team to move through the data preparation phase efficiently without sacrificing quality or organization.</w:t>
      </w:r>
    </w:p>
    <w:p>
      <w:pPr>
        <w:spacing w:after="160"/>
      </w:pPr>
      <w:r>
        <w:rPr>
          <w:rFonts w:ascii="Times New Roman" w:cs="Times New Roman" w:eastAsia="Times New Roman" w:hAnsi="Times New Roman"/>
          <w:sz w:val="24"/>
          <w:szCs w:val="24"/>
        </w:rPr>
        <w:t xml:space="preserve">Looking ahead to Milestone 2, my assigned tasks include organizing the test set into four evaluation batches of 100 images per class (due April 1), configuring training hyperparameters including the optimizer, learning rate, and loss function (due April 8), integrating the pytorch-grad-cam library for explainability heatmaps (due April 19), validating the trained model against Cancer Imaging Archive samples for generalizability (due April 21), and producing final result visualizations with Grad-CAM overlays for each tumor class (due April 22). The two active project risks—model overfitting and class imbalance—have already been partially addressed through the augmentation and stratified splitting work completed this milestone, and will continue to be monitored through training and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2026-03-28T22:10:01.851Z</dcterms:created>
  <dcterms:modified xsi:type="dcterms:W3CDTF">2026-03-28T22:10:01.851Z</dcterms:modified>
</cp:coreProperties>
</file>

<file path=docProps/custom.xml><?xml version="1.0" encoding="utf-8"?>
<Properties xmlns="http://schemas.openxmlformats.org/officeDocument/2006/custom-properties" xmlns:vt="http://schemas.openxmlformats.org/officeDocument/2006/docPropsVTypes"/>
</file>