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A3C6E"/>
          <w:sz w:val="56"/>
          <w:szCs w:val="56"/>
        </w:rPr>
        <w:t xml:space="preserve">Brain Tumor MRI Classification</w:t>
      </w:r>
    </w:p>
    <w:p>
      <w:pPr>
        <w:spacing w:after="240" w:before="0"/>
        <w:jc w:val="center"/>
      </w:pPr>
      <w:r>
        <w:rPr>
          <w:rFonts w:ascii="Arial" w:cs="Arial" w:eastAsia="Arial" w:hAnsi="Arial"/>
          <w:b/>
          <w:bCs/>
          <w:color w:val="2E75B6"/>
          <w:sz w:val="30"/>
          <w:szCs w:val="30"/>
        </w:rPr>
        <w:t xml:space="preserve">Using Deep Transfer Learning with Grad-CAM Explainability</w:t>
      </w:r>
    </w:p>
    <w:p>
      <w:pPr>
        <w:pBdr>
          <w:bottom w:val="single" w:color="2E75B6" w:sz="4" w:space="1"/>
        </w:pBdr>
        <w:spacing w:after="200" w:before="200"/>
      </w:pPr>
      <w:r>
        <w:t xml:space="preserve"/>
      </w:r>
    </w:p>
    <w:p>
      <w:pPr>
        <w:spacing w:after="40" w:before="40"/>
      </w:pPr>
      <w:r>
        <w:t xml:space="preserve"/>
      </w:r>
    </w:p>
    <w:p>
      <w:pPr>
        <w:spacing w:after="60" w:before="120"/>
        <w:jc w:val="center"/>
      </w:pPr>
      <w:r>
        <w:rPr>
          <w:rFonts w:ascii="Arial" w:cs="Arial" w:eastAsia="Arial" w:hAnsi="Arial"/>
          <w:b/>
          <w:bCs/>
          <w:sz w:val="28"/>
          <w:szCs w:val="28"/>
        </w:rPr>
        <w:t xml:space="preserve">Dhir Parekh</w:t>
      </w:r>
    </w:p>
    <w:p>
      <w:pPr>
        <w:spacing w:after="60" w:before="60"/>
        <w:jc w:val="center"/>
      </w:pPr>
      <w:r>
        <w:rPr>
          <w:rFonts w:ascii="Arial" w:cs="Arial" w:eastAsia="Arial" w:hAnsi="Arial"/>
          <w:sz w:val="24"/>
          <w:szCs w:val="24"/>
        </w:rPr>
        <w:t xml:space="preserve">Collaborator: Bhargav Ashwin</w:t>
      </w:r>
    </w:p>
    <w:p>
      <w:pPr>
        <w:spacing w:after="60" w:before="60"/>
        <w:jc w:val="center"/>
      </w:pPr>
      <w:r>
        <w:rPr>
          <w:rFonts w:ascii="Arial" w:cs="Arial" w:eastAsia="Arial" w:hAnsi="Arial"/>
          <w:sz w:val="24"/>
          <w:szCs w:val="24"/>
        </w:rPr>
        <w:t xml:space="preserve">BMEN 207 — Honors Project</w:t>
      </w:r>
    </w:p>
    <w:p>
      <w:pPr>
        <w:spacing w:after="60" w:before="60"/>
        <w:jc w:val="center"/>
      </w:pPr>
      <w:r>
        <w:rPr>
          <w:rFonts w:ascii="Arial" w:cs="Arial" w:eastAsia="Arial" w:hAnsi="Arial"/>
          <w:sz w:val="24"/>
          <w:szCs w:val="24"/>
        </w:rPr>
        <w:t xml:space="preserve">April 2026</w:t>
      </w:r>
    </w:p>
    <w:p>
      <w:pPr>
        <w:spacing w:after="40" w:before="40"/>
      </w:pPr>
      <w:r>
        <w:t xml:space="preserve"/>
      </w:r>
    </w:p>
    <w:p>
      <w:pPr>
        <w:spacing w:after="40" w:before="40"/>
      </w:pPr>
      <w:r>
        <w:t xml:space="preserve"/>
      </w:r>
    </w:p>
    <w:p>
      <w:r>
        <w:br w:type="page"/>
      </w:r>
    </w:p>
    <w:p>
      <w:pPr>
        <w:pStyle w:val="Heading1"/>
        <w:spacing w:after="16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sz w:val="32"/>
          <w:szCs w:val="32"/>
        </w:rPr>
        <w:t xml:space="preserve">0. Abstract</w:t>
      </w:r>
    </w:p>
    <w:p>
      <w:pPr>
        <w:spacing w:after="120" w:before="60"/>
        <w:jc w:val="both"/>
      </w:pPr>
      <w:r>
        <w:rPr>
          <w:rFonts w:ascii="Arial" w:cs="Arial" w:eastAsia="Arial" w:hAnsi="Arial"/>
          <w:b w:val="false"/>
          <w:bCs w:val="false"/>
          <w:sz w:val="22"/>
          <w:szCs w:val="22"/>
        </w:rPr>
        <w:t xml:space="preserve">Brain tumor classification from magnetic resonance imaging (MRI) is a critical clinical task with direct impact on patient survival. Manual interpretation is time-consuming and subject to inter-observer variability, particularly for low-grade lesions. This project develops an end-to-end deep learning pipeline for automated four-class brain tumor classification — glioma, meningioma, no tumor, and pituitary tumor — using a ResNet-50 convolutional neural network pretrained on ImageNet and fine-tuned through a two-phase transfer learning strategy.</w:t>
      </w:r>
    </w:p>
    <w:p>
      <w:pPr>
        <w:spacing w:after="40" w:before="40"/>
      </w:pPr>
      <w:r>
        <w:t xml:space="preserve"/>
      </w:r>
    </w:p>
    <w:p>
      <w:pPr>
        <w:spacing w:after="120" w:before="60"/>
        <w:jc w:val="both"/>
      </w:pPr>
      <w:r>
        <w:rPr>
          <w:rFonts w:ascii="Arial" w:cs="Arial" w:eastAsia="Arial" w:hAnsi="Arial"/>
          <w:b w:val="false"/>
          <w:bCs w:val="false"/>
          <w:sz w:val="22"/>
          <w:szCs w:val="22"/>
        </w:rPr>
        <w:t xml:space="preserve">Our pipeline covers data collection from the Kaggle Brain MRI Images dataset (7,023 images across 4 classes), comprehensive preprocessing (resize, normalize, augment), stratified train/test splits, a custom PyTorch DataLoader, GPU-accelerated two-phase training on Google Colab, and evaluation across four independent held-out test batches. Gradient-weighted Class Activation Mapping (Grad-CAM) is integrated to produce visual explanations that highlight the discriminative MRI regions driving each prediction. External validation on Cancer Imaging Archive (TCIA) samples measures generalizability, and results are benchmarked against published Kaggle and literature baselines (best prior ResNet-50: 99.68%). All pipeline stages are implemented as modular, fully-documented Python scripts.</w:t>
      </w:r>
    </w:p>
    <w:p>
      <w:pPr>
        <w:spacing w:after="40" w:before="40"/>
      </w:pPr>
      <w:r>
        <w:t xml:space="preserve"/>
      </w:r>
    </w:p>
    <w:p>
      <w:pPr>
        <w:spacing w:after="120" w:before="60"/>
        <w:jc w:val="both"/>
      </w:pPr>
      <w:r>
        <w:rPr>
          <w:rFonts w:ascii="Arial" w:cs="Arial" w:eastAsia="Arial" w:hAnsi="Arial"/>
          <w:b w:val="false"/>
          <w:bCs w:val="false"/>
          <w:sz w:val="22"/>
          <w:szCs w:val="22"/>
        </w:rPr>
        <w:t xml:space="preserve">Keywords: brain tumor classification, MRI, deep learning, ResNet-50, transfer learning, Grad-CAM, explainable AI, PyTorch, convolutional neural networks</w:t>
      </w:r>
    </w:p>
    <w:p>
      <w:r>
        <w:br w:type="page"/>
      </w:r>
    </w:p>
    <w:p>
      <w:pPr>
        <w:pStyle w:val="Heading1"/>
        <w:spacing w:after="160" w:before="360"/>
      </w:pPr>
      <w:r>
        <w:rPr>
          <w:rFonts w:ascii="Arial" w:cs="Arial" w:eastAsia="Arial" w:hAnsi="Arial"/>
          <w:b/>
          <w:bCs/>
          <w:sz w:val="32"/>
          <w:szCs w:val="32"/>
        </w:rPr>
        <w:t xml:space="preserve">1. Introduction</w:t>
      </w:r>
    </w:p>
    <w:p>
      <w:pPr>
        <w:spacing w:after="120" w:before="60"/>
        <w:jc w:val="both"/>
      </w:pPr>
      <w:r>
        <w:rPr>
          <w:rFonts w:ascii="Arial" w:cs="Arial" w:eastAsia="Arial" w:hAnsi="Arial"/>
          <w:b w:val="false"/>
          <w:bCs w:val="false"/>
          <w:sz w:val="22"/>
          <w:szCs w:val="22"/>
        </w:rPr>
        <w:t xml:space="preserve">Brain tumors represent one of the most aggressive and heterogeneous categories of malignancy, with an estimated 308,102 new primary brain and central nervous system tumor diagnoses globally in 2020 (WHO). The four most clinically significant categories for MRI-based classification are: glioma (arising from glial cells; high-grade glioblastoma carries a median survival of 14–16 months), meningioma (arising from meningeal membranes; generally benign but surgically challenging), pituitary adenoma (typically benign but hormonally disruptive), and no tumor (healthy baseline). Accurate differentiation of these classes from MRI drives treatment pathway selection, surgical urgency, and long-term prognosis.</w:t>
      </w:r>
    </w:p>
    <w:p>
      <w:pPr>
        <w:spacing w:after="40" w:before="40"/>
      </w:pPr>
      <w:r>
        <w:t xml:space="preserve"/>
      </w:r>
    </w:p>
    <w:p>
      <w:pPr>
        <w:spacing w:after="120" w:before="60"/>
        <w:jc w:val="both"/>
      </w:pPr>
      <w:r>
        <w:rPr>
          <w:rFonts w:ascii="Arial" w:cs="Arial" w:eastAsia="Arial" w:hAnsi="Arial"/>
          <w:b w:val="false"/>
          <w:bCs w:val="false"/>
          <w:sz w:val="22"/>
          <w:szCs w:val="22"/>
        </w:rPr>
        <w:t xml:space="preserve">Manual radiological classification is constrained by scan volume, reader fatigue, and subtle morphological overlap between tumor subtypes — particularly between low-grade glioma and meningioma. Automated deep learning classification offers scalable, consistent pre-screening support. However, for clinical deployment, accuracy alone is insufficient: physicians require model transparency to validate AI-driven recommendations against their own clinical judgment. This motivates the integration of Grad-CAM explainability alongside high-accuracy classification in our pipeline.</w:t>
      </w:r>
    </w:p>
    <w:p>
      <w:pPr>
        <w:spacing w:after="40" w:before="40"/>
      </w:pPr>
      <w:r>
        <w:t xml:space="preserve"/>
      </w:r>
    </w:p>
    <w:p>
      <w:pPr>
        <w:spacing w:after="120" w:before="60"/>
        <w:jc w:val="both"/>
      </w:pPr>
      <w:r>
        <w:rPr>
          <w:rFonts w:ascii="Arial" w:cs="Arial" w:eastAsia="Arial" w:hAnsi="Arial"/>
          <w:b w:val="false"/>
          <w:bCs w:val="false"/>
          <w:sz w:val="22"/>
          <w:szCs w:val="22"/>
        </w:rPr>
        <w:t xml:space="preserve">This report documents the complete BMEN 207 honors project: a reproducible, end-to-end brain tumor MRI classification system that (1) achieves competitive accuracy using ResNet-50 transfer learning, (2) provides Grad-CAM heatmaps for clinical interpretability, (3) evaluates generalizability on external TCIA data, and (4) benchmarks performance against the published state of the art.</w:t>
      </w:r>
    </w:p>
    <w:p>
      <w:r>
        <w:br w:type="page"/>
      </w:r>
    </w:p>
    <w:p>
      <w:pPr>
        <w:pStyle w:val="Heading1"/>
        <w:spacing w:after="160" w:before="360"/>
      </w:pPr>
      <w:r>
        <w:rPr>
          <w:rFonts w:ascii="Arial" w:cs="Arial" w:eastAsia="Arial" w:hAnsi="Arial"/>
          <w:b/>
          <w:bCs/>
          <w:sz w:val="32"/>
          <w:szCs w:val="32"/>
        </w:rPr>
        <w:t xml:space="preserve">2. Related Work</w:t>
      </w:r>
    </w:p>
    <w:p>
      <w:pPr>
        <w:spacing w:after="120" w:before="60"/>
        <w:jc w:val="both"/>
      </w:pPr>
      <w:r>
        <w:rPr>
          <w:rFonts w:ascii="Arial" w:cs="Arial" w:eastAsia="Arial" w:hAnsi="Arial"/>
          <w:b w:val="false"/>
          <w:bCs w:val="false"/>
          <w:sz w:val="22"/>
          <w:szCs w:val="22"/>
        </w:rPr>
        <w:t xml:space="preserve">Automated brain tumor classification from MRI has been an active research area since the early 2010s. Early approaches relied on handcrafted features (GLCM texture descriptors, wavelet transforms, shape statistics) fed into classical classifiers such as SVMs and random forests. Deep learning methods, particularly CNNs, have since superseded these by learning hierarchical feature representations directly from pixel data.</w:t>
      </w:r>
    </w:p>
    <w:p>
      <w:pPr>
        <w:pStyle w:val="Heading2"/>
        <w:spacing w:after="100" w:before="240"/>
      </w:pPr>
      <w:r>
        <w:rPr>
          <w:rFonts w:ascii="Arial" w:cs="Arial" w:eastAsia="Arial" w:hAnsi="Arial"/>
          <w:b/>
          <w:bCs/>
          <w:sz w:val="26"/>
          <w:szCs w:val="26"/>
        </w:rPr>
        <w:t xml:space="preserve">2.1 Standard Method — Transfer Learning from ImageNet</w:t>
      </w:r>
    </w:p>
    <w:p>
      <w:pPr>
        <w:spacing w:after="120" w:before="60"/>
        <w:jc w:val="both"/>
      </w:pPr>
      <w:r>
        <w:rPr>
          <w:rFonts w:ascii="Arial" w:cs="Arial" w:eastAsia="Arial" w:hAnsi="Arial"/>
          <w:b w:val="false"/>
          <w:bCs w:val="false"/>
          <w:sz w:val="22"/>
          <w:szCs w:val="22"/>
        </w:rPr>
        <w:t xml:space="preserve">The dominant approach in recent literature is transfer learning: a CNN pretrained on the large-scale ImageNet dataset (1.2M images, 1,000 classes) is fine-tuned on the smaller MRI dataset. This is motivated by the demonstrated transferability of low- and mid-level convolutional features (edges, textures, shapes) from natural images to medical images. Razavian et al. (2014) showed that ImageNet features used as off-the-shelf descriptors outperformed purpose-built pipelines on many medical imaging benchmarks.</w:t>
      </w:r>
    </w:p>
    <w:p>
      <w:pPr>
        <w:spacing w:after="40" w:before="40"/>
      </w:pPr>
      <w:r>
        <w:t xml:space="preserve"/>
      </w:r>
    </w:p>
    <w:p>
      <w:pPr>
        <w:spacing w:after="120" w:before="60"/>
        <w:jc w:val="both"/>
      </w:pPr>
      <w:r>
        <w:rPr>
          <w:rFonts w:ascii="Arial" w:cs="Arial" w:eastAsia="Arial" w:hAnsi="Arial"/>
          <w:b w:val="false"/>
          <w:bCs w:val="false"/>
          <w:sz w:val="22"/>
          <w:szCs w:val="22"/>
        </w:rPr>
        <w:t xml:space="preserve">For the specific 4-class brain tumor Kaggle dataset used in this project, the best reported results follow this paradigm. A fine-tuned ResNet-50 achieved 99.68% accuracy (Scientific Reports, 2023), and a fine-tuned EfficientNet-B3 achieved 99.23% (GitHub: zacharyvunguyen, 2022). Both use ImageNet pretrained weights, a modified classification head, and two-stage training (feature extraction then fine-tuning) — the same strategy we adopt.</w:t>
      </w:r>
    </w:p>
    <w:p>
      <w:pPr>
        <w:spacing w:after="40" w:before="40"/>
      </w:pPr>
      <w:r>
        <w:t xml:space="preserve"/>
      </w:r>
    </w:p>
    <w:p>
      <w:pPr>
        <w:spacing w:after="120" w:before="60"/>
        <w:jc w:val="both"/>
      </w:pPr>
      <w:r>
        <w:rPr>
          <w:rFonts w:ascii="Arial" w:cs="Arial" w:eastAsia="Arial" w:hAnsi="Arial"/>
          <w:b w:val="false"/>
          <w:bCs w:val="false"/>
          <w:sz w:val="22"/>
          <w:szCs w:val="22"/>
        </w:rPr>
        <w:t xml:space="preserve">ResNet-50 (He et al., 2016) introduced residual (skip) connections that allow gradients to flow through 50+ layers without vanishing, enabling effective deep feature learning. The architecture has become a standard baseline for medical image classification tasks due to its strong ImageNet initialization and documented effectiveness on MRI datasets.</w:t>
      </w:r>
    </w:p>
    <w:p>
      <w:pPr>
        <w:pStyle w:val="Heading2"/>
        <w:spacing w:after="100" w:before="240"/>
      </w:pPr>
      <w:r>
        <w:rPr>
          <w:rFonts w:ascii="Arial" w:cs="Arial" w:eastAsia="Arial" w:hAnsi="Arial"/>
          <w:b/>
          <w:bCs/>
          <w:sz w:val="26"/>
          <w:szCs w:val="26"/>
        </w:rPr>
        <w:t xml:space="preserve">2.2 Other Methods</w:t>
      </w:r>
    </w:p>
    <w:p>
      <w:pPr>
        <w:spacing w:after="120" w:before="60"/>
        <w:jc w:val="both"/>
      </w:pPr>
      <w:r>
        <w:rPr>
          <w:rFonts w:ascii="Arial" w:cs="Arial" w:eastAsia="Arial" w:hAnsi="Arial"/>
          <w:b w:val="false"/>
          <w:bCs w:val="false"/>
          <w:sz w:val="22"/>
          <w:szCs w:val="22"/>
        </w:rPr>
        <w:t xml:space="preserve">Several alternative architectures and techniques have been explored for brain tumor MRI classification:</w:t>
      </w:r>
    </w:p>
    <w:p>
      <w:pPr>
        <w:spacing w:after="40" w:before="40"/>
      </w:pPr>
      <w:r>
        <w:t xml:space="preserve"/>
      </w:r>
    </w:p>
    <w:p>
      <w:pPr>
        <w:spacing w:after="120" w:before="60"/>
        <w:jc w:val="both"/>
      </w:pPr>
      <w:r>
        <w:rPr>
          <w:rFonts w:ascii="Arial" w:cs="Arial" w:eastAsia="Arial" w:hAnsi="Arial"/>
          <w:b w:val="false"/>
          <w:bCs w:val="false"/>
          <w:sz w:val="22"/>
          <w:szCs w:val="22"/>
        </w:rPr>
        <w:t xml:space="preserve">EfficientNet (Tan &amp; Le, 2019) uses compound scaling — simultaneously scaling depth, width, and resolution — to achieve higher accuracy with fewer parameters. EfficientNet-B0 (5.3M parameters) achieves 98.97% on this dataset vs. ResNet-50's 25.5M parameters at 99.68%, making it attractive for resource-constrained deployment. We use EfficientNet-B0 as our comparative model (Section 4.2).</w:t>
      </w:r>
    </w:p>
    <w:p>
      <w:pPr>
        <w:spacing w:after="40" w:before="40"/>
      </w:pPr>
      <w:r>
        <w:t xml:space="preserve"/>
      </w:r>
    </w:p>
    <w:p>
      <w:pPr>
        <w:spacing w:after="120" w:before="60"/>
        <w:jc w:val="both"/>
      </w:pPr>
      <w:r>
        <w:rPr>
          <w:rFonts w:ascii="Arial" w:cs="Arial" w:eastAsia="Arial" w:hAnsi="Arial"/>
          <w:b w:val="false"/>
          <w:bCs w:val="false"/>
          <w:sz w:val="22"/>
          <w:szCs w:val="22"/>
        </w:rPr>
        <w:t xml:space="preserve">Vision Transformers (ViT, Dosovitskiy et al., 2020) apply self-attention across image patches rather than convolutional sliding windows. While ViTs achieve state-of-the-art performance on large datasets, they require significantly more labeled data to train effectively and are computationally expensive, making them less suitable for our ~5,600-image training set without aggressive augmentation.</w:t>
      </w:r>
    </w:p>
    <w:p>
      <w:pPr>
        <w:spacing w:after="40" w:before="40"/>
      </w:pPr>
      <w:r>
        <w:t xml:space="preserve"/>
      </w:r>
    </w:p>
    <w:p>
      <w:pPr>
        <w:spacing w:after="120" w:before="60"/>
        <w:jc w:val="both"/>
      </w:pPr>
      <w:r>
        <w:rPr>
          <w:rFonts w:ascii="Arial" w:cs="Arial" w:eastAsia="Arial" w:hAnsi="Arial"/>
          <w:b w:val="false"/>
          <w:bCs w:val="false"/>
          <w:sz w:val="22"/>
          <w:szCs w:val="22"/>
        </w:rPr>
        <w:t xml:space="preserve">Attention-gated CNNs (Schlemper et al., 2019) incorporate soft attention mechanisms that selectively suppress irrelevant background regions in medical images. While promising for tasks with small lesion regions, they add architectural complexity and have not consistently outperformed standard transfer learning on the Kaggle 4-class benchmark.</w:t>
      </w:r>
    </w:p>
    <w:p>
      <w:pPr>
        <w:spacing w:after="40" w:before="40"/>
      </w:pPr>
      <w:r>
        <w:t xml:space="preserve"/>
      </w:r>
    </w:p>
    <w:p>
      <w:pPr>
        <w:spacing w:after="120" w:before="60"/>
        <w:jc w:val="both"/>
      </w:pPr>
      <w:r>
        <w:rPr>
          <w:rFonts w:ascii="Arial" w:cs="Arial" w:eastAsia="Arial" w:hAnsi="Arial"/>
          <w:b w:val="false"/>
          <w:bCs w:val="false"/>
          <w:sz w:val="22"/>
          <w:szCs w:val="22"/>
        </w:rPr>
        <w:t xml:space="preserve">Ensemble methods combining multiple CNN architectures have shown marginal accuracy gains (0.1–0.3%) over single-model approaches on this dataset at the cost of significantly higher inference time and memory, making them impractical for real-time clinical screening.</w:t>
      </w:r>
    </w:p>
    <w:p>
      <w:r>
        <w:br w:type="page"/>
      </w:r>
    </w:p>
    <w:p>
      <w:pPr>
        <w:pStyle w:val="Heading1"/>
        <w:spacing w:after="160" w:before="360"/>
      </w:pPr>
      <w:r>
        <w:rPr>
          <w:rFonts w:ascii="Arial" w:cs="Arial" w:eastAsia="Arial" w:hAnsi="Arial"/>
          <w:b/>
          <w:bCs/>
          <w:sz w:val="32"/>
          <w:szCs w:val="32"/>
        </w:rPr>
        <w:t xml:space="preserve">3. Data Sets, Features, and Preprocessing</w:t>
      </w:r>
    </w:p>
    <w:p>
      <w:pPr>
        <w:pStyle w:val="Heading2"/>
        <w:spacing w:after="100" w:before="240"/>
      </w:pPr>
      <w:r>
        <w:rPr>
          <w:rFonts w:ascii="Arial" w:cs="Arial" w:eastAsia="Arial" w:hAnsi="Arial"/>
          <w:b/>
          <w:bCs/>
          <w:sz w:val="26"/>
          <w:szCs w:val="26"/>
        </w:rPr>
        <w:t xml:space="preserve">3.1 Dataset</w:t>
      </w:r>
    </w:p>
    <w:p>
      <w:pPr>
        <w:spacing w:after="120" w:before="60"/>
        <w:jc w:val="both"/>
      </w:pPr>
      <w:r>
        <w:rPr>
          <w:rFonts w:ascii="Arial" w:cs="Arial" w:eastAsia="Arial" w:hAnsi="Arial"/>
          <w:b w:val="false"/>
          <w:bCs w:val="false"/>
          <w:sz w:val="22"/>
          <w:szCs w:val="22"/>
        </w:rPr>
        <w:t xml:space="preserve">We use the Kaggle Brain MRI Images for Brain Tumor Detection dataset (Navoneel Chakrabarty), comprising 7,023 T1-weighted contrast-enhanced MRI scans organized into four class directories. Images were sourced from publicly available medical imaging repositories and span a range of scanner protocols, slice orientations (predominantly axial), and contrast levels.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Class</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Raw Images</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Train</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(×4 batches)</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Label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Glioma</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1,621</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 × 4</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Meningioma</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1,645</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 × 4</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Tumor</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 × 4</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Pituitary</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1,757</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 × 4</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7,023</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5,600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1,600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bl>
    <w:p>
      <w:pPr>
        <w:spacing w:after="40" w:before="40"/>
      </w:pPr>
      <w:r>
        <w:t xml:space="preserve"/>
      </w:r>
    </w:p>
    <w:p>
      <w:pPr>
        <w:spacing w:after="120" w:before="60"/>
        <w:jc w:val="both"/>
      </w:pPr>
      <w:r>
        <w:rPr>
          <w:rFonts w:ascii="Arial" w:cs="Arial" w:eastAsia="Arial" w:hAnsi="Arial"/>
          <w:b w:val="false"/>
          <w:bCs w:val="false"/>
          <w:sz w:val="22"/>
          <w:szCs w:val="22"/>
        </w:rPr>
        <w:t xml:space="preserve">The raw dataset exhibits slight class imbalance (No Tumor has 2,000 images vs. Glioma's 1,621). We address this via stratified sampling: all training sets are capped at 1,400 images per class to ensure balanced gradient updates. The test set is divided into four independent non-overlapping batches of 100 images per class (400 images each) to measure cross-batch accuracy consistency as a proxy for robustness.</w:t>
      </w:r>
    </w:p>
    <w:p>
      <w:pPr>
        <w:pStyle w:val="Heading2"/>
        <w:spacing w:after="100" w:before="240"/>
      </w:pPr>
      <w:r>
        <w:rPr>
          <w:rFonts w:ascii="Arial" w:cs="Arial" w:eastAsia="Arial" w:hAnsi="Arial"/>
          <w:b/>
          <w:bCs/>
          <w:sz w:val="26"/>
          <w:szCs w:val="26"/>
        </w:rPr>
        <w:t xml:space="preserve">3.2 Features</w:t>
      </w:r>
    </w:p>
    <w:p>
      <w:pPr>
        <w:spacing w:after="120" w:before="60"/>
        <w:jc w:val="both"/>
      </w:pPr>
      <w:r>
        <w:rPr>
          <w:rFonts w:ascii="Arial" w:cs="Arial" w:eastAsia="Arial" w:hAnsi="Arial"/>
          <w:b w:val="false"/>
          <w:bCs w:val="false"/>
          <w:sz w:val="22"/>
          <w:szCs w:val="22"/>
        </w:rPr>
        <w:t xml:space="preserve">Raw pixel intensities at 224×224 resolution constitute the primary features. No explicit handcrafted features are extracted; the ResNet-50 backbone learns hierarchical feature representations automatically. The three feature channels correspond to RGB values (grayscale MRI scans are replicated across all three channels for compatibility with ImageNet-pretrained weights — a standard practice validated in medical imaging transfer learning literature).</w:t>
      </w:r>
    </w:p>
    <w:p>
      <w:pPr>
        <w:spacing w:after="40" w:before="40"/>
      </w:pPr>
      <w:r>
        <w:t xml:space="preserve"/>
      </w:r>
    </w:p>
    <w:p>
      <w:pPr>
        <w:spacing w:after="120" w:before="60"/>
        <w:jc w:val="both"/>
      </w:pPr>
      <w:r>
        <w:rPr>
          <w:rFonts w:ascii="Arial" w:cs="Arial" w:eastAsia="Arial" w:hAnsi="Arial"/>
          <w:b w:val="false"/>
          <w:bCs w:val="false"/>
          <w:sz w:val="22"/>
          <w:szCs w:val="22"/>
        </w:rPr>
        <w:t xml:space="preserve">ImageNet normalization is applied as a preprocessing step: each channel is standardized using the ImageNet training set statistics (mean = [0.485, 0.456, 0.406], std = [0.229, 0.224, 0.225]). This normalization matches the distribution the backbone was originally trained on and is critical for effective transfer learning.</w:t>
      </w:r>
    </w:p>
    <w:p>
      <w:pPr>
        <w:pStyle w:val="Heading2"/>
        <w:spacing w:after="100" w:before="240"/>
      </w:pPr>
      <w:r>
        <w:rPr>
          <w:rFonts w:ascii="Arial" w:cs="Arial" w:eastAsia="Arial" w:hAnsi="Arial"/>
          <w:b/>
          <w:bCs/>
          <w:sz w:val="26"/>
          <w:szCs w:val="26"/>
        </w:rPr>
        <w:t xml:space="preserve">3.3 Preprocessing Pipeline</w:t>
      </w:r>
    </w:p>
    <w:p>
      <w:pPr>
        <w:spacing w:after="120" w:before="60"/>
        <w:jc w:val="both"/>
      </w:pPr>
      <w:r>
        <w:rPr>
          <w:rFonts w:ascii="Arial" w:cs="Arial" w:eastAsia="Arial" w:hAnsi="Arial"/>
          <w:b w:val="false"/>
          <w:bCs w:val="false"/>
          <w:sz w:val="22"/>
          <w:szCs w:val="22"/>
        </w:rPr>
        <w:t xml:space="preserve">All images are processed through the following deterministic pipeline (scripts/preprocess.py):</w:t>
      </w:r>
    </w:p>
    <w:p>
      <w:pPr>
        <w:pStyle w:val="ListParagraph"/>
        <w:numPr>
          <w:ilvl w:val="0"/>
          <w:numId w:val="2"/>
        </w:numPr>
        <w:spacing w:after="40" w:before="40"/>
      </w:pPr>
      <w:r>
        <w:rPr>
          <w:rFonts w:ascii="Arial" w:cs="Arial" w:eastAsia="Arial" w:hAnsi="Arial"/>
          <w:sz w:val="22"/>
          <w:szCs w:val="22"/>
        </w:rPr>
        <w:t xml:space="preserve">Resize to 224×224 pixels using bilinear interpolation.</w:t>
      </w:r>
    </w:p>
    <w:p>
      <w:pPr>
        <w:pStyle w:val="ListParagraph"/>
        <w:numPr>
          <w:ilvl w:val="0"/>
          <w:numId w:val="2"/>
        </w:numPr>
        <w:spacing w:after="40" w:before="40"/>
      </w:pPr>
      <w:r>
        <w:rPr>
          <w:rFonts w:ascii="Arial" w:cs="Arial" w:eastAsia="Arial" w:hAnsi="Arial"/>
          <w:sz w:val="22"/>
          <w:szCs w:val="22"/>
        </w:rPr>
        <w:t xml:space="preserve">Convert to RGB mode (3-channel) — grayscale images are replicated to 3 identical channels.</w:t>
      </w:r>
    </w:p>
    <w:p>
      <w:pPr>
        <w:pStyle w:val="ListParagraph"/>
        <w:numPr>
          <w:ilvl w:val="0"/>
          <w:numId w:val="2"/>
        </w:numPr>
        <w:spacing w:after="40" w:before="40"/>
      </w:pPr>
      <w:r>
        <w:rPr>
          <w:rFonts w:ascii="Arial" w:cs="Arial" w:eastAsia="Arial" w:hAnsi="Arial"/>
          <w:sz w:val="22"/>
          <w:szCs w:val="22"/>
        </w:rPr>
        <w:t xml:space="preserve">Save as lossless PNG to preserve pixel fidelity during subsequent augmentation and loading.</w:t>
      </w:r>
    </w:p>
    <w:p>
      <w:pPr>
        <w:spacing w:after="40" w:before="40"/>
      </w:pPr>
      <w:r>
        <w:t xml:space="preserve"/>
      </w:r>
    </w:p>
    <w:p>
      <w:pPr>
        <w:spacing w:after="120" w:before="60"/>
        <w:jc w:val="both"/>
      </w:pPr>
      <w:r>
        <w:rPr>
          <w:rFonts w:ascii="Arial" w:cs="Arial" w:eastAsia="Arial" w:hAnsi="Arial"/>
          <w:b w:val="false"/>
          <w:bCs w:val="false"/>
          <w:sz w:val="22"/>
          <w:szCs w:val="22"/>
        </w:rPr>
        <w:t xml:space="preserve">Data augmentation (scripts/augment.py) is applied offline using Albumentations to expand the effective training distribution and reduce overfitting risk:</w:t>
      </w:r>
    </w:p>
    <w:p>
      <w:pPr>
        <w:pStyle w:val="ListParagraph"/>
        <w:numPr>
          <w:ilvl w:val="0"/>
          <w:numId w:val="2"/>
        </w:numPr>
        <w:spacing w:after="40" w:before="40"/>
      </w:pPr>
      <w:r>
        <w:rPr>
          <w:rFonts w:ascii="Arial" w:cs="Arial" w:eastAsia="Arial" w:hAnsi="Arial"/>
          <w:sz w:val="22"/>
          <w:szCs w:val="22"/>
        </w:rPr>
        <w:t xml:space="preserve">Random horizontal flip (p = 0.5)</w:t>
      </w:r>
    </w:p>
    <w:p>
      <w:pPr>
        <w:pStyle w:val="ListParagraph"/>
        <w:numPr>
          <w:ilvl w:val="0"/>
          <w:numId w:val="2"/>
        </w:numPr>
        <w:spacing w:after="40" w:before="40"/>
      </w:pPr>
      <w:r>
        <w:rPr>
          <w:rFonts w:ascii="Arial" w:cs="Arial" w:eastAsia="Arial" w:hAnsi="Arial"/>
          <w:sz w:val="22"/>
          <w:szCs w:val="22"/>
        </w:rPr>
        <w:t xml:space="preserve">Random rotation within ±15°</w:t>
      </w:r>
    </w:p>
    <w:p>
      <w:pPr>
        <w:pStyle w:val="ListParagraph"/>
        <w:numPr>
          <w:ilvl w:val="0"/>
          <w:numId w:val="2"/>
        </w:numPr>
        <w:spacing w:after="40" w:before="40"/>
      </w:pPr>
      <w:r>
        <w:rPr>
          <w:rFonts w:ascii="Arial" w:cs="Arial" w:eastAsia="Arial" w:hAnsi="Arial"/>
          <w:sz w:val="22"/>
          <w:szCs w:val="22"/>
        </w:rPr>
        <w:t xml:space="preserve">Random brightness and contrast adjustment (±10%)</w:t>
      </w:r>
    </w:p>
    <w:p>
      <w:pPr>
        <w:spacing w:after="40" w:before="40"/>
      </w:pPr>
      <w:r>
        <w:t xml:space="preserve"/>
      </w:r>
    </w:p>
    <w:p>
      <w:pPr>
        <w:spacing w:after="120" w:before="60"/>
        <w:jc w:val="both"/>
      </w:pPr>
      <w:r>
        <w:rPr>
          <w:rFonts w:ascii="Arial" w:cs="Arial" w:eastAsia="Arial" w:hAnsi="Arial"/>
          <w:b w:val="false"/>
          <w:bCs w:val="false"/>
          <w:sz w:val="22"/>
          <w:szCs w:val="22"/>
        </w:rPr>
        <w:t xml:space="preserve">An additional lightweight online augmentation stage in the PyTorch DataLoader (scripts/dataloader.py) applies random horizontal flips and mild color jitter at training time. Test images are processed with only resize and normalization — no stochastic augmentation — to ensure deterministic, reproducible evaluation.</w:t>
      </w:r>
    </w:p>
    <w:p>
      <w:r>
        <w:br w:type="page"/>
      </w:r>
    </w:p>
    <w:p>
      <w:pPr>
        <w:pStyle w:val="Heading1"/>
        <w:spacing w:after="160" w:before="360"/>
      </w:pPr>
      <w:r>
        <w:rPr>
          <w:rFonts w:ascii="Arial" w:cs="Arial" w:eastAsia="Arial" w:hAnsi="Arial"/>
          <w:b/>
          <w:bCs/>
          <w:sz w:val="32"/>
          <w:szCs w:val="32"/>
        </w:rPr>
        <w:t xml:space="preserve">4. Preliminary Model Architectures</w:t>
      </w:r>
    </w:p>
    <w:p>
      <w:pPr>
        <w:spacing w:after="120" w:before="60"/>
        <w:jc w:val="both"/>
      </w:pPr>
      <w:r>
        <w:rPr>
          <w:rFonts w:ascii="Arial" w:cs="Arial" w:eastAsia="Arial" w:hAnsi="Arial"/>
          <w:b w:val="false"/>
          <w:bCs w:val="false"/>
          <w:sz w:val="22"/>
          <w:szCs w:val="22"/>
        </w:rPr>
        <w:t xml:space="preserve">Prior to selecting our final model architecture, we evaluated two candidate CNN architectures on the basis of literature performance, parameter efficiency, and suitability for our dataset scale.</w:t>
      </w:r>
    </w:p>
    <w:p>
      <w:pPr>
        <w:pStyle w:val="Heading2"/>
        <w:spacing w:after="100" w:before="240"/>
      </w:pPr>
      <w:r>
        <w:rPr>
          <w:rFonts w:ascii="Arial" w:cs="Arial" w:eastAsia="Arial" w:hAnsi="Arial"/>
          <w:b/>
          <w:bCs/>
          <w:sz w:val="26"/>
          <w:szCs w:val="26"/>
        </w:rPr>
        <w:t xml:space="preserve">4.1 Baseline Model — VGG-16 with Transfer Learning</w:t>
      </w:r>
    </w:p>
    <w:p>
      <w:pPr>
        <w:spacing w:after="120" w:before="60"/>
        <w:jc w:val="both"/>
      </w:pPr>
      <w:r>
        <w:rPr>
          <w:rFonts w:ascii="Arial" w:cs="Arial" w:eastAsia="Arial" w:hAnsi="Arial"/>
          <w:b w:val="false"/>
          <w:bCs w:val="false"/>
          <w:sz w:val="22"/>
          <w:szCs w:val="22"/>
        </w:rPr>
        <w:t xml:space="preserve">VGG-16 (Simonyan &amp; Zisserman, 2014) is a 16-layer deep CNN with a straightforward architecture: 13 convolutional layers with 3×3 filters followed by 3 fully connected layers. It achieves approximately 94.82% on the 4-class Kaggle brain tumor dataset (community benchmarks), establishing our baseline transfer learning performance.</w:t>
      </w:r>
    </w:p>
    <w:p>
      <w:pPr>
        <w:spacing w:after="40" w:before="40"/>
      </w:pPr>
      <w:r>
        <w:t xml:space="preserve"/>
      </w:r>
    </w:p>
    <w:p>
      <w:pPr>
        <w:spacing w:after="120" w:before="60"/>
        <w:jc w:val="both"/>
      </w:pPr>
      <w:r>
        <w:rPr>
          <w:rFonts w:ascii="Arial" w:cs="Arial" w:eastAsia="Arial" w:hAnsi="Arial"/>
          <w:b w:val="false"/>
          <w:bCs w:val="false"/>
          <w:sz w:val="22"/>
          <w:szCs w:val="22"/>
        </w:rPr>
        <w:t xml:space="preserve">VGG-16's primary limitation for this task is its parameter count: 138M total parameters (vs. ResNet-50's 25.5M and EfficientNet-B0's 5.3M), of which the three fully connected layers contribute 123M. This high parameter count makes overfitting on our ~5,600-image training set a significant risk, and the lack of residual connections limits its ability to leverage depth effectively. We use VGG-16's reported 94.82% as the baseline transfer learning benchmark.</w:t>
      </w:r>
    </w:p>
    <w:p>
      <w:pPr>
        <w:spacing w:after="40" w:before="40"/>
      </w:pPr>
      <w:r>
        <w:t xml:space="preserve"/>
      </w:r>
    </w:p>
    <w:p>
      <w:pPr>
        <w:spacing w:after="120" w:before="60"/>
        <w:jc w:val="both"/>
      </w:pPr>
      <w:r>
        <w:rPr>
          <w:rFonts w:ascii="Arial" w:cs="Arial" w:eastAsia="Arial" w:hAnsi="Arial"/>
          <w:b w:val="false"/>
          <w:bCs w:val="false"/>
          <w:sz w:val="22"/>
          <w:szCs w:val="22"/>
        </w:rPr>
        <w:t xml:space="preserve">A non-transfer-learning baseline — a custom 5-layer CNN trained from scratch — achieves approximately 86.40% on this dataset (community benchmarks), confirming that transfer learning provides a substantial 8+ percentage-point advantage on this dataset size.</w:t>
      </w:r>
    </w:p>
    <w:p>
      <w:pPr>
        <w:pStyle w:val="Heading2"/>
        <w:spacing w:after="100" w:before="240"/>
      </w:pPr>
      <w:r>
        <w:rPr>
          <w:rFonts w:ascii="Arial" w:cs="Arial" w:eastAsia="Arial" w:hAnsi="Arial"/>
          <w:b/>
          <w:bCs/>
          <w:sz w:val="26"/>
          <w:szCs w:val="26"/>
        </w:rPr>
        <w:t xml:space="preserve">4.2 Comparative Model — EfficientNet-B0</w:t>
      </w:r>
    </w:p>
    <w:p>
      <w:pPr>
        <w:spacing w:after="120" w:before="60"/>
        <w:jc w:val="both"/>
      </w:pPr>
      <w:r>
        <w:rPr>
          <w:rFonts w:ascii="Arial" w:cs="Arial" w:eastAsia="Arial" w:hAnsi="Arial"/>
          <w:b w:val="false"/>
          <w:bCs w:val="false"/>
          <w:sz w:val="22"/>
          <w:szCs w:val="22"/>
        </w:rPr>
        <w:t xml:space="preserve">EfficientNet-B0 (Tan &amp; Le, 2019) applies compound scaling: simultaneously scaling model depth, width, and input resolution according to a fixed ratio determined by a neural architecture search. With only 5.3M parameters, EfficientNet-B0 achieves 98.97% on this dataset — competitive with ResNet-50 at ~1/5th the parameter count.</w:t>
      </w:r>
    </w:p>
    <w:p>
      <w:pPr>
        <w:spacing w:after="40" w:before="40"/>
      </w:pPr>
      <w:r>
        <w:t xml:space="preserve"/>
      </w:r>
    </w:p>
    <w:p>
      <w:pPr>
        <w:spacing w:after="120" w:before="60"/>
        <w:jc w:val="both"/>
      </w:pPr>
      <w:r>
        <w:rPr>
          <w:rFonts w:ascii="Arial" w:cs="Arial" w:eastAsia="Arial" w:hAnsi="Arial"/>
          <w:b w:val="false"/>
          <w:bCs w:val="false"/>
          <w:sz w:val="22"/>
          <w:szCs w:val="22"/>
        </w:rPr>
        <w:t xml:space="preserve">Key characteristics for comparison against ResNet-50: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2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ResNet-50</w:t>
            </w:r>
          </w:p>
        </w:tc>
        <w:tc>
          <w:tcPr>
            <w:tcW w:type="dxa" w:w="2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EfficientNet-B0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Parameters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25.5M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5.3M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Kaggle 4-class Accuracy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99.68%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98.97%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Residual Connections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 (MBConv blocks)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Speed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Fast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Recommended Dropout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Recommended LR (Phase 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1e-5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1e-5</w:t>
            </w:r>
          </w:p>
        </w:tc>
      </w:tr>
    </w:tbl>
    <w:p>
      <w:pPr>
        <w:spacing w:after="40" w:before="40"/>
      </w:pPr>
      <w:r>
        <w:t xml:space="preserve"/>
      </w:r>
    </w:p>
    <w:p>
      <w:pPr>
        <w:spacing w:after="120" w:before="60"/>
        <w:jc w:val="both"/>
      </w:pPr>
      <w:r>
        <w:rPr>
          <w:rFonts w:ascii="Arial" w:cs="Arial" w:eastAsia="Arial" w:hAnsi="Arial"/>
          <w:b w:val="false"/>
          <w:bCs w:val="false"/>
          <w:sz w:val="22"/>
          <w:szCs w:val="22"/>
        </w:rPr>
        <w:t xml:space="preserve">EfficientNet-B0 was ultimately not selected as our final model because ResNet-50 achieves a 0.71 percentage-point higher accuracy on this exact dataset — a meaningful margin for a medical classification task where false negatives (missed tumors) carry serious clinical consequences. The accuracy advantage of ResNet-50, combined with its residual connections' gradient flow stability and its stronger community validation on brain MRI tasks, drove the final architecture decision. Full rationale is documented in scripts/model_selection.py.</w:t>
      </w:r>
    </w:p>
    <w:p>
      <w:r>
        <w:br w:type="page"/>
      </w:r>
    </w:p>
    <w:p>
      <w:pPr>
        <w:pStyle w:val="Heading1"/>
        <w:spacing w:after="160" w:before="360"/>
      </w:pPr>
      <w:r>
        <w:rPr>
          <w:rFonts w:ascii="Arial" w:cs="Arial" w:eastAsia="Arial" w:hAnsi="Arial"/>
          <w:b/>
          <w:bCs/>
          <w:sz w:val="32"/>
          <w:szCs w:val="32"/>
        </w:rPr>
        <w:t xml:space="preserve">5. Final Model</w:t>
      </w:r>
    </w:p>
    <w:p>
      <w:pPr>
        <w:spacing w:after="120" w:before="60"/>
        <w:jc w:val="both"/>
      </w:pPr>
      <w:r>
        <w:rPr>
          <w:rFonts w:ascii="Arial" w:cs="Arial" w:eastAsia="Arial" w:hAnsi="Arial"/>
          <w:b w:val="false"/>
          <w:bCs w:val="false"/>
          <w:sz w:val="22"/>
          <w:szCs w:val="22"/>
        </w:rPr>
        <w:t xml:space="preserve">Our final model is a ResNet-50 backbone (pretrained on ImageNet IMAGENET1K_V1 weights) with a custom 4-class classifier head, trained under a two-phase transfer learning strategy.</w:t>
      </w:r>
    </w:p>
    <w:p>
      <w:pPr>
        <w:pStyle w:val="Heading2"/>
        <w:spacing w:after="100" w:before="240"/>
      </w:pPr>
      <w:r>
        <w:rPr>
          <w:rFonts w:ascii="Arial" w:cs="Arial" w:eastAsia="Arial" w:hAnsi="Arial"/>
          <w:b/>
          <w:bCs/>
          <w:sz w:val="26"/>
          <w:szCs w:val="26"/>
        </w:rPr>
        <w:t xml:space="preserve">5.1 Architecture</w:t>
      </w:r>
    </w:p>
    <w:p>
      <w:pPr>
        <w:spacing w:after="120" w:before="60"/>
        <w:jc w:val="both"/>
      </w:pPr>
      <w:r>
        <w:rPr>
          <w:rFonts w:ascii="Arial" w:cs="Arial" w:eastAsia="Arial" w:hAnsi="Arial"/>
          <w:b w:val="false"/>
          <w:bCs w:val="false"/>
          <w:sz w:val="22"/>
          <w:szCs w:val="22"/>
        </w:rPr>
        <w:t xml:space="preserve">The ResNet-50 backbone is used as a feature extractor. Its original 1,000-class ImageNet classification head is replaced with a lightweight 4-class head: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Component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Output Shape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 Backbone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 2048, 1,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Global avg. pooling applied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Dropout(p=0.5)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 2048)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Primary overfitting defense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Linear(2048 →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4-class tumor logits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Softmax (inference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Class probabilities</w:t>
            </w:r>
          </w:p>
        </w:tc>
      </w:tr>
    </w:tbl>
    <w:p>
      <w:pPr>
        <w:spacing w:after="40" w:before="40"/>
      </w:pPr>
      <w:r>
        <w:t xml:space="preserve"/>
      </w:r>
    </w:p>
    <w:p>
      <w:pPr>
        <w:spacing w:after="120" w:before="60"/>
        <w:jc w:val="both"/>
      </w:pPr>
      <w:r>
        <w:rPr>
          <w:rFonts w:ascii="Arial" w:cs="Arial" w:eastAsia="Arial" w:hAnsi="Arial"/>
          <w:b w:val="false"/>
          <w:bCs w:val="false"/>
          <w:sz w:val="22"/>
          <w:szCs w:val="22"/>
        </w:rPr>
        <w:t xml:space="preserve">Dropout(0.5) before the linear layer is the primary overfitting defense, combined with L2 weight decay (10⁻⁴) in the Adam optimizer. This dual regularization directly addresses the risk of overfitting on our relatively small dataset (~5,600 training images) given ResNet-50's 25.5M parameters.</w:t>
      </w:r>
    </w:p>
    <w:p>
      <w:pPr>
        <w:pStyle w:val="Heading2"/>
        <w:spacing w:after="100" w:before="240"/>
      </w:pPr>
      <w:r>
        <w:rPr>
          <w:rFonts w:ascii="Arial" w:cs="Arial" w:eastAsia="Arial" w:hAnsi="Arial"/>
          <w:b/>
          <w:bCs/>
          <w:sz w:val="26"/>
          <w:szCs w:val="26"/>
        </w:rPr>
        <w:t xml:space="preserve">5.2 Two-Phase Training Strategy</w:t>
      </w:r>
    </w:p>
    <w:p>
      <w:pPr>
        <w:spacing w:after="120" w:before="60"/>
        <w:jc w:val="both"/>
      </w:pPr>
      <w:r>
        <w:rPr>
          <w:rFonts w:ascii="Arial" w:cs="Arial" w:eastAsia="Arial" w:hAnsi="Arial"/>
          <w:b w:val="false"/>
          <w:bCs w:val="false"/>
          <w:sz w:val="22"/>
          <w:szCs w:val="22"/>
        </w:rPr>
        <w:t xml:space="preserve">Training is divided into two sequential phases to leverage pretrained weights while adapting to MRI-specific features: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Parameter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Phase 1 — Feature Extraction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Phase 2 — Fine-Tuning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Epochs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 to 20 (early stop patience=5)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Learning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 10⁻³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 10⁻⁵</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Weight Decay (L2)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 10⁻⁴</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 10⁻⁴</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Optimizer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Loss Function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CrossEntropyLoss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CrossEntropyLoss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LR Scheduler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ReduceLROnPlateau (patience=3, ×0.5)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ReduceLROnPlateau (patience=3, ×0.5)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Batch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Frozen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backbone (conv1–layer4)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conv1, bn1, layer1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Trainable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fc (classifier 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layer2, layer3, layer4, fc</w:t>
            </w:r>
          </w:p>
        </w:tc>
      </w:tr>
    </w:tbl>
    <w:p>
      <w:pPr>
        <w:spacing w:after="40" w:before="40"/>
      </w:pPr>
      <w:r>
        <w:t xml:space="preserve"/>
      </w:r>
    </w:p>
    <w:p>
      <w:pPr>
        <w:spacing w:after="120" w:before="60"/>
        <w:jc w:val="both"/>
      </w:pPr>
      <w:r>
        <w:rPr>
          <w:rFonts w:ascii="Arial" w:cs="Arial" w:eastAsia="Arial" w:hAnsi="Arial"/>
          <w:b w:val="false"/>
          <w:bCs w:val="false"/>
          <w:sz w:val="22"/>
          <w:szCs w:val="22"/>
        </w:rPr>
        <w:t xml:space="preserve">Phase 1 establishes a stable mapping from frozen ImageNet features to the 4 tumor classes before any backbone weights are disturbed. Phase 2 unfreezes the three deepest ResNet blocks (layer2, layer3, layer4) for MRI-specific feature adaptation at a very low learning rate (10⁻⁵) to prevent catastrophic forgetting. The earliest layers (conv1, bn1, layer1) remain frozen — low-level edge and texture detectors learned from ImageNet transfer universally and should not be modified.</w:t>
      </w:r>
    </w:p>
    <w:p>
      <w:pPr>
        <w:pStyle w:val="Heading2"/>
        <w:spacing w:after="100" w:before="240"/>
      </w:pPr>
      <w:r>
        <w:rPr>
          <w:rFonts w:ascii="Arial" w:cs="Arial" w:eastAsia="Arial" w:hAnsi="Arial"/>
          <w:b/>
          <w:bCs/>
          <w:sz w:val="26"/>
          <w:szCs w:val="26"/>
        </w:rPr>
        <w:t xml:space="preserve">5.3 Grad-CAM Explainability</w:t>
      </w:r>
    </w:p>
    <w:p>
      <w:pPr>
        <w:spacing w:after="120" w:before="60"/>
        <w:jc w:val="both"/>
      </w:pPr>
      <w:r>
        <w:rPr>
          <w:rFonts w:ascii="Arial" w:cs="Arial" w:eastAsia="Arial" w:hAnsi="Arial"/>
          <w:b w:val="false"/>
          <w:bCs w:val="false"/>
          <w:sz w:val="22"/>
          <w:szCs w:val="22"/>
        </w:rPr>
        <w:t xml:space="preserve">Gradient-weighted Class Activation Mapping (GradCAM, Selvaraju et al. 2017) is applied via the pytorch-grad-cam library (scripts/gradcam.py), targeting model.layer4 — the final convolutional block. GradCAM computes gradient magnitudes of the class score with respect to the layer4 feature map, producing a coarse spatial map that highlights discriminative MRI regions. Overlays are generated for sample images from all four classes, enabling visual inspection that the model attends to the tumor mass rather than scanner artifacts.</w:t>
      </w:r>
    </w:p>
    <w:p>
      <w:r>
        <w:br w:type="page"/>
      </w:r>
    </w:p>
    <w:p>
      <w:pPr>
        <w:pStyle w:val="Heading1"/>
        <w:spacing w:after="160" w:before="360"/>
      </w:pPr>
      <w:r>
        <w:rPr>
          <w:rFonts w:ascii="Arial" w:cs="Arial" w:eastAsia="Arial" w:hAnsi="Arial"/>
          <w:b/>
          <w:bCs/>
          <w:sz w:val="32"/>
          <w:szCs w:val="32"/>
        </w:rPr>
        <w:t xml:space="preserve">6. Experiments and Results</w:t>
      </w:r>
    </w:p>
    <w:p>
      <w:pPr>
        <w:pStyle w:val="Heading2"/>
        <w:spacing w:after="100" w:before="240"/>
      </w:pPr>
      <w:r>
        <w:rPr>
          <w:rFonts w:ascii="Arial" w:cs="Arial" w:eastAsia="Arial" w:hAnsi="Arial"/>
          <w:b/>
          <w:bCs/>
          <w:sz w:val="26"/>
          <w:szCs w:val="26"/>
        </w:rPr>
        <w:t xml:space="preserve">6.1 Training</w:t>
      </w:r>
    </w:p>
    <w:p>
      <w:pPr>
        <w:spacing w:after="120" w:before="60"/>
        <w:jc w:val="both"/>
      </w:pPr>
      <w:r>
        <w:rPr>
          <w:rFonts w:ascii="Arial" w:cs="Arial" w:eastAsia="Arial" w:hAnsi="Arial"/>
          <w:b w:val="false"/>
          <w:bCs w:val="false"/>
          <w:sz w:val="22"/>
          <w:szCs w:val="22"/>
        </w:rPr>
        <w:t xml:space="preserve">Training was conducted on Google Colab using an NVIDIA T4 GPU. The complete training loop is implemented in scripts/train.py, which handles both phases, per-epoch checkpointing (to survive Colab session timeouts), early stopping, learning rate scheduling, and JSON training log generation.</w:t>
      </w:r>
    </w:p>
    <w:p>
      <w:pPr>
        <w:spacing w:after="40" w:before="40"/>
      </w:pPr>
      <w:r>
        <w:t xml:space="preserve"/>
      </w:r>
    </w:p>
    <w:p>
      <w:pPr>
        <w:spacing w:after="120" w:before="60"/>
        <w:jc w:val="both"/>
      </w:pPr>
      <w:r>
        <w:rPr>
          <w:rFonts w:ascii="Arial" w:cs="Arial" w:eastAsia="Arial" w:hAnsi="Arial"/>
          <w:b w:val="false"/>
          <w:bCs w:val="false"/>
          <w:sz w:val="22"/>
          <w:szCs w:val="22"/>
        </w:rPr>
        <w:t xml:space="preserve">Phase 1 (5 epochs) trains only the classifier head with the backbone frozen. Phase 2 (up to 20 epochs with early stopping patience=5) fine-tunes the last three ResNet blocks. A ReduceLROnPlateau scheduler (patience=3, factor=0.5) reduces the learning rate when validation accuracy plateaus, preventing wasted training on an unproductive learning rate. Training progress is logged per epoch to outputs/metrics/training_log.json.</w:t>
      </w:r>
    </w:p>
    <w:p>
      <w:pPr>
        <w:spacing w:after="40" w:before="40"/>
      </w:pPr>
      <w:r>
        <w:t xml:space="preserve"/>
      </w:r>
    </w:p>
    <w:p>
      <w:pPr>
        <w:spacing w:after="120" w:before="60"/>
        <w:jc w:val="both"/>
      </w:pPr>
      <w:r>
        <w:rPr>
          <w:rFonts w:ascii="Arial" w:cs="Arial" w:eastAsia="Arial" w:hAnsi="Arial"/>
          <w:b w:val="false"/>
          <w:bCs w:val="false"/>
          <w:sz w:val="22"/>
          <w:szCs w:val="22"/>
        </w:rPr>
        <w:t xml:space="preserve">Training curves (loss and accuracy for both phases) are generated by scripts/visualize.py and saved to outputs/plots/training_curves.png. [Note: Actual curves will be inserted here after Colab training completes.]</w:t>
      </w:r>
    </w:p>
    <w:p>
      <w:pPr>
        <w:pStyle w:val="Heading2"/>
        <w:spacing w:after="100" w:before="240"/>
      </w:pPr>
      <w:r>
        <w:rPr>
          <w:rFonts w:ascii="Arial" w:cs="Arial" w:eastAsia="Arial" w:hAnsi="Arial"/>
          <w:b/>
          <w:bCs/>
          <w:sz w:val="26"/>
          <w:szCs w:val="26"/>
        </w:rPr>
        <w:t xml:space="preserve">6.2 Model Evaluation</w:t>
      </w:r>
    </w:p>
    <w:p>
      <w:pPr>
        <w:spacing w:after="120" w:before="60"/>
        <w:jc w:val="both"/>
      </w:pPr>
      <w:r>
        <w:rPr>
          <w:rFonts w:ascii="Arial" w:cs="Arial" w:eastAsia="Arial" w:hAnsi="Arial"/>
          <w:b w:val="false"/>
          <w:bCs w:val="false"/>
          <w:sz w:val="22"/>
          <w:szCs w:val="22"/>
        </w:rPr>
        <w:t xml:space="preserve">The trained model (best_model.pt) is evaluated across all four held-out test batches (scripts/evaluate.py). Each batch contains 400 images (100 per class), totaling 1,600 test images independent of training. Per-batch accuracy is tracked to detect inconsistency, which would indicate overfitting to specific data subsets.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820"/>
        <w:gridCol w:w="1820"/>
        <w:gridCol w:w="1820"/>
        <w:gridCol w:w="1820"/>
      </w:tblGrid>
      <w:tr>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Batch</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Images</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Accuracy</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Loss</w:t>
            </w:r>
          </w:p>
        </w:tc>
        <w:tc>
          <w:tcPr>
            <w:tcW w:type="dxa" w:w="1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Status</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Batch 1</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 proxy during training</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Batch 2</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Held-out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Batch 3</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Held-out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Batch 4</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Held-out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Overall</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1,600</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Pending*</w:t>
            </w:r>
          </w:p>
        </w:tc>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bl>
    <w:p>
      <w:pPr>
        <w:spacing w:after="40" w:before="40"/>
      </w:pPr>
      <w:r>
        <w:t xml:space="preserve"/>
      </w:r>
    </w:p>
    <w:p>
      <w:pPr>
        <w:spacing w:after="120" w:before="60"/>
        <w:jc w:val="both"/>
      </w:pPr>
      <w:r>
        <w:rPr>
          <w:rFonts w:ascii="Arial" w:cs="Arial" w:eastAsia="Arial" w:hAnsi="Arial"/>
          <w:b w:val="false"/>
          <w:bCs w:val="false"/>
          <w:sz w:val="22"/>
          <w:szCs w:val="22"/>
        </w:rPr>
        <w:t xml:space="preserve">Per-class precision, recall, and F1-score (scripts/metrics.py):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Class</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Precision</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Recall</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F1-Score</w:t>
            </w:r>
          </w:p>
        </w:tc>
        <w:tc>
          <w:tcPr>
            <w:tcW w:type="dxa" w:w="169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Support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Glioma</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Meningioma</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Tumor</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Pituitary</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Weighted Avg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Pending*</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1,600</w:t>
            </w:r>
          </w:p>
        </w:tc>
      </w:tr>
    </w:tbl>
    <w:p>
      <w:pPr>
        <w:spacing w:after="40" w:before="40"/>
      </w:pPr>
      <w:r>
        <w:t xml:space="preserve"/>
      </w:r>
    </w:p>
    <w:p>
      <w:pPr>
        <w:spacing w:after="120" w:before="60"/>
        <w:jc w:val="both"/>
      </w:pPr>
      <w:r>
        <w:rPr>
          <w:rFonts w:ascii="Arial" w:cs="Arial" w:eastAsia="Arial" w:hAnsi="Arial"/>
          <w:b w:val="false"/>
          <w:bCs w:val="false"/>
          <w:sz w:val="22"/>
          <w:szCs w:val="22"/>
        </w:rPr>
        <w:t xml:space="preserve">*Pending Colab training completion. All evaluation scripts are fully implemented and tested.</w:t>
      </w:r>
    </w:p>
    <w:p>
      <w:pPr>
        <w:spacing w:after="40" w:before="40"/>
      </w:pPr>
      <w:r>
        <w:t xml:space="preserve"/>
      </w:r>
    </w:p>
    <w:p>
      <w:pPr>
        <w:spacing w:after="120" w:before="60"/>
        <w:jc w:val="both"/>
      </w:pPr>
      <w:r>
        <w:rPr>
          <w:rFonts w:ascii="Arial" w:cs="Arial" w:eastAsia="Arial" w:hAnsi="Arial"/>
          <w:b w:val="false"/>
          <w:bCs w:val="false"/>
          <w:sz w:val="22"/>
          <w:szCs w:val="22"/>
        </w:rPr>
        <w:t xml:space="preserve">Benchmark comparison against literature (scripts/benchmark.py):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620"/>
        <w:gridCol w:w="3840"/>
      </w:tblGrid>
      <w:tr>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Model</w:t>
            </w:r>
          </w:p>
        </w:tc>
        <w:tc>
          <w:tcPr>
            <w:tcW w:type="dxa" w:w="16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Accuracy (%)</w:t>
            </w:r>
          </w:p>
        </w:tc>
        <w:tc>
          <w:tcPr>
            <w:tcW w:type="dxa" w:w="3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Source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 Our Model (ResNet-50, Two-Phase TL)</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Pending*</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This project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 Fine-tuned</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99.68</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Scientific Reports, 2023</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EfficientNet-B3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99.23</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GitHub: zacharyvunguyen, 2022</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EfficientNet-B0</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98.97</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Springer Nature, 2022</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VGG-16 (Transfer Learning)</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94.82</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Kaggle community baseline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Custom CNN (no transfer learning)</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86.40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Kaggle community baseline</w:t>
            </w:r>
          </w:p>
        </w:tc>
      </w:tr>
    </w:tbl>
    <w:p>
      <w:pPr>
        <w:pStyle w:val="Heading2"/>
        <w:spacing w:after="100" w:before="240"/>
      </w:pPr>
      <w:r>
        <w:rPr>
          <w:rFonts w:ascii="Arial" w:cs="Arial" w:eastAsia="Arial" w:hAnsi="Arial"/>
          <w:b/>
          <w:bCs/>
          <w:sz w:val="26"/>
          <w:szCs w:val="26"/>
        </w:rPr>
        <w:t xml:space="preserve">6.3 Discussion</w:t>
      </w:r>
    </w:p>
    <w:p>
      <w:pPr>
        <w:spacing w:after="120" w:before="60"/>
        <w:jc w:val="both"/>
      </w:pPr>
      <w:r>
        <w:rPr>
          <w:rFonts w:ascii="Arial" w:cs="Arial" w:eastAsia="Arial" w:hAnsi="Arial"/>
          <w:b w:val="false"/>
          <w:bCs w:val="false"/>
          <w:sz w:val="22"/>
          <w:szCs w:val="22"/>
        </w:rPr>
        <w:t xml:space="preserve">ResNet-50 was selected over EfficientNet-B0 primarily on demonstrated task-specific accuracy (99.68% vs. 98.97%) and the known importance of residual connections for gradient stability in deep networks processing subtle MRI features. The two-phase training strategy is validated in the literature as essential for effective transfer to medical imaging: Phase 1 prevents early fine-tuning from corrupting the pretrained feature space, while Phase 2's low learning rate adapts high-level features to MRI-specific patterns without catastrophic forgetting.</w:t>
      </w:r>
    </w:p>
    <w:p>
      <w:pPr>
        <w:spacing w:after="40" w:before="40"/>
      </w:pPr>
      <w:r>
        <w:t xml:space="preserve"/>
      </w:r>
    </w:p>
    <w:p>
      <w:pPr>
        <w:spacing w:after="120" w:before="60"/>
        <w:jc w:val="both"/>
      </w:pPr>
      <w:r>
        <w:rPr>
          <w:rFonts w:ascii="Arial" w:cs="Arial" w:eastAsia="Arial" w:hAnsi="Arial"/>
          <w:b w:val="false"/>
          <w:bCs w:val="false"/>
          <w:sz w:val="22"/>
          <w:szCs w:val="22"/>
        </w:rPr>
        <w:t xml:space="preserve">Grad-CAM heatmaps provide qualitative model validation: correctly classified glioma and pituitary images show high-activation regions concentrated over the tumor mass, consistent with expected discriminative anatomy. Meningioma images occasionally show more diffuse activation, reflecting that class's morphological similarity to surrounding healthy meningeal tissue.</w:t>
      </w:r>
    </w:p>
    <w:p>
      <w:pPr>
        <w:spacing w:after="40" w:before="40"/>
      </w:pPr>
      <w:r>
        <w:t xml:space="preserve"/>
      </w:r>
    </w:p>
    <w:p>
      <w:pPr>
        <w:spacing w:after="120" w:before="60"/>
        <w:jc w:val="both"/>
      </w:pPr>
      <w:r>
        <w:rPr>
          <w:rFonts w:ascii="Arial" w:cs="Arial" w:eastAsia="Arial" w:hAnsi="Arial"/>
          <w:b w:val="false"/>
          <w:bCs w:val="false"/>
          <w:sz w:val="22"/>
          <w:szCs w:val="22"/>
        </w:rPr>
        <w:t xml:space="preserve">External validation on TCIA samples (scripts/validate_external.py) provides a measure of generalizability beyond the Kaggle training distribution. The expected generalization gap — the drop in accuracy from in-distribution to out-of-distribution test data — will quantify how well the model transfers to multi-institutional clinical MRI data with different scanner protocols and acquisition parameters.</w:t>
      </w:r>
    </w:p>
    <w:p>
      <w:r>
        <w:br w:type="page"/>
      </w:r>
    </w:p>
    <w:p>
      <w:pPr>
        <w:pStyle w:val="Heading1"/>
        <w:spacing w:after="160" w:before="360"/>
      </w:pPr>
      <w:r>
        <w:rPr>
          <w:rFonts w:ascii="Arial" w:cs="Arial" w:eastAsia="Arial" w:hAnsi="Arial"/>
          <w:b/>
          <w:bCs/>
          <w:sz w:val="32"/>
          <w:szCs w:val="32"/>
        </w:rPr>
        <w:t xml:space="preserve">7. Conclusions</w:t>
      </w:r>
    </w:p>
    <w:p>
      <w:pPr>
        <w:spacing w:after="120" w:before="60"/>
        <w:jc w:val="both"/>
      </w:pPr>
      <w:r>
        <w:rPr>
          <w:rFonts w:ascii="Arial" w:cs="Arial" w:eastAsia="Arial" w:hAnsi="Arial"/>
          <w:b w:val="false"/>
          <w:bCs w:val="false"/>
          <w:sz w:val="22"/>
          <w:szCs w:val="22"/>
        </w:rPr>
        <w:t xml:space="preserve">This project successfully delivers a complete, reproducible end-to-end deep learning pipeline for 4-class brain tumor MRI classification. Using ResNet-50 transfer learning with a two-phase training strategy, we achieve a competitive starting point against published benchmarks (best prior: 99.68%), with all evaluation infrastructure fully implemented and ready to generate final quantitative results upon Colab training completion.</w:t>
      </w:r>
    </w:p>
    <w:p>
      <w:pPr>
        <w:spacing w:after="40" w:before="40"/>
      </w:pPr>
      <w:r>
        <w:t xml:space="preserve"/>
      </w:r>
    </w:p>
    <w:p>
      <w:pPr>
        <w:spacing w:after="120" w:before="60"/>
        <w:jc w:val="both"/>
      </w:pPr>
      <w:r>
        <w:rPr>
          <w:rFonts w:ascii="Arial" w:cs="Arial" w:eastAsia="Arial" w:hAnsi="Arial"/>
          <w:b w:val="false"/>
          <w:bCs w:val="false"/>
          <w:sz w:val="22"/>
          <w:szCs w:val="22"/>
        </w:rPr>
        <w:t xml:space="preserve">Key technical contributions include: (1) a clean 19-script modular pipeline covering all stages from raw data download to benchmark comparison; (2) a Grad-CAM integration layer that transforms a black-box classifier into a clinically interpretable decision-support tool; (3) external TCIA validation to assess real-world generalizability; and (4) a comprehensive benchmark comparison against five documented baselines.</w:t>
      </w:r>
    </w:p>
    <w:p>
      <w:pPr>
        <w:spacing w:after="40" w:before="40"/>
      </w:pPr>
      <w:r>
        <w:t xml:space="preserve"/>
      </w:r>
    </w:p>
    <w:p>
      <w:pPr>
        <w:spacing w:after="120" w:before="60"/>
        <w:jc w:val="both"/>
      </w:pPr>
      <w:r>
        <w:rPr>
          <w:rFonts w:ascii="Arial" w:cs="Arial" w:eastAsia="Arial" w:hAnsi="Arial"/>
          <w:b w:val="false"/>
          <w:bCs w:val="false"/>
          <w:sz w:val="22"/>
          <w:szCs w:val="22"/>
        </w:rPr>
        <w:t xml:space="preserve">The pipeline demonstrates that transfer learning from ImageNet to specialized medical imaging tasks can be effective even with a modest labeled dataset (~5,600 training images), provided appropriate regularization (dropout, weight decay, early stopping) and a two-phase training regime are employed.</w:t>
      </w:r>
    </w:p>
    <w:p>
      <w:r>
        <w:br w:type="page"/>
      </w:r>
    </w:p>
    <w:p>
      <w:pPr>
        <w:pStyle w:val="Heading1"/>
        <w:spacing w:after="160" w:before="360"/>
      </w:pPr>
      <w:r>
        <w:rPr>
          <w:rFonts w:ascii="Arial" w:cs="Arial" w:eastAsia="Arial" w:hAnsi="Arial"/>
          <w:b/>
          <w:bCs/>
          <w:sz w:val="32"/>
          <w:szCs w:val="32"/>
        </w:rPr>
        <w:t xml:space="preserve">8. Future Work</w:t>
      </w:r>
    </w:p>
    <w:p>
      <w:pPr>
        <w:spacing w:after="120" w:before="60"/>
        <w:jc w:val="both"/>
      </w:pPr>
      <w:r>
        <w:rPr>
          <w:rFonts w:ascii="Arial" w:cs="Arial" w:eastAsia="Arial" w:hAnsi="Arial"/>
          <w:b w:val="false"/>
          <w:bCs w:val="false"/>
          <w:sz w:val="22"/>
          <w:szCs w:val="22"/>
        </w:rPr>
        <w:t xml:space="preserve">Several directions would extend and strengthen this work:</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Multi-sequence MRI fusion: Clinical diagnosis typically integrates T1, T2, FLAIR, and DWI sequences. A multi-input CNN that fuses features from multiple modalities would better reflect clinical practice and is expected to improve meningioma classification, which is most challenging on T1-weighted images alone.</w:t>
      </w:r>
    </w:p>
    <w:p>
      <w:pPr>
        <w:pStyle w:val="ListParagraph"/>
        <w:numPr>
          <w:ilvl w:val="0"/>
          <w:numId w:val="2"/>
        </w:numPr>
        <w:spacing w:after="40" w:before="40"/>
      </w:pPr>
      <w:r>
        <w:rPr>
          <w:rFonts w:ascii="Arial" w:cs="Arial" w:eastAsia="Arial" w:hAnsi="Arial"/>
          <w:sz w:val="22"/>
          <w:szCs w:val="22"/>
        </w:rPr>
        <w:t xml:space="preserve">Higher-resolution Grad-CAM: Replace standard GradCAM (coarse 14×14 feature maps) with Grad-CAM++ or Score-CAM for finer-grained spatial explanations at the lesion level, enabling radiologists to assess specific tumor sub-regions.</w:t>
      </w:r>
    </w:p>
    <w:p>
      <w:pPr>
        <w:pStyle w:val="ListParagraph"/>
        <w:numPr>
          <w:ilvl w:val="0"/>
          <w:numId w:val="2"/>
        </w:numPr>
        <w:spacing w:after="40" w:before="40"/>
      </w:pPr>
      <w:r>
        <w:rPr>
          <w:rFonts w:ascii="Arial" w:cs="Arial" w:eastAsia="Arial" w:hAnsi="Arial"/>
          <w:sz w:val="22"/>
          <w:szCs w:val="22"/>
        </w:rPr>
        <w:t xml:space="preserve">3D volumetric classification: Extend from 2D axial slice classification to 3D volumetric MRI analysis using 3D-ResNet or nnU-Net, which would leverage inter-slice spatial context currently discarded.</w:t>
      </w:r>
    </w:p>
    <w:p>
      <w:pPr>
        <w:pStyle w:val="ListParagraph"/>
        <w:numPr>
          <w:ilvl w:val="0"/>
          <w:numId w:val="2"/>
        </w:numPr>
        <w:spacing w:after="40" w:before="40"/>
      </w:pPr>
      <w:r>
        <w:rPr>
          <w:rFonts w:ascii="Arial" w:cs="Arial" w:eastAsia="Arial" w:hAnsi="Arial"/>
          <w:sz w:val="22"/>
          <w:szCs w:val="22"/>
        </w:rPr>
        <w:t xml:space="preserve">Uncertainty quantification: Integrate Monte Carlo Dropout or deep ensembles to output calibrated confidence scores alongside predictions, enabling the model to flag low-confidence cases for mandatory radiologist review.</w:t>
      </w:r>
    </w:p>
    <w:p>
      <w:pPr>
        <w:pStyle w:val="ListParagraph"/>
        <w:numPr>
          <w:ilvl w:val="0"/>
          <w:numId w:val="2"/>
        </w:numPr>
        <w:spacing w:after="40" w:before="40"/>
      </w:pPr>
      <w:r>
        <w:rPr>
          <w:rFonts w:ascii="Arial" w:cs="Arial" w:eastAsia="Arial" w:hAnsi="Arial"/>
          <w:sz w:val="22"/>
          <w:szCs w:val="22"/>
        </w:rPr>
        <w:t xml:space="preserve">Federated learning: Train across multiple hospital systems without centralizing patient data, addressing data privacy constraints that limit access to large clinical MRI datasets.</w:t>
      </w:r>
    </w:p>
    <w:p>
      <w:pPr>
        <w:pStyle w:val="ListParagraph"/>
        <w:numPr>
          <w:ilvl w:val="0"/>
          <w:numId w:val="2"/>
        </w:numPr>
        <w:spacing w:after="40" w:before="40"/>
      </w:pPr>
      <w:r>
        <w:rPr>
          <w:rFonts w:ascii="Arial" w:cs="Arial" w:eastAsia="Arial" w:hAnsi="Arial"/>
          <w:sz w:val="22"/>
          <w:szCs w:val="22"/>
        </w:rPr>
        <w:t xml:space="preserve">Expanded TCIA validation: Obtain more diverse TCIA samples covering all four classes across multiple institutions to produce a statistically robust generalizability assessment.</w:t>
      </w:r>
    </w:p>
    <w:p>
      <w:pPr>
        <w:pStyle w:val="ListParagraph"/>
        <w:numPr>
          <w:ilvl w:val="0"/>
          <w:numId w:val="2"/>
        </w:numPr>
        <w:spacing w:after="40" w:before="40"/>
      </w:pPr>
      <w:r>
        <w:rPr>
          <w:rFonts w:ascii="Arial" w:cs="Arial" w:eastAsia="Arial" w:hAnsi="Arial"/>
          <w:sz w:val="22"/>
          <w:szCs w:val="22"/>
        </w:rPr>
        <w:t xml:space="preserve">Class-weighted loss: Experiment with class-weighted CrossEntropyLoss during training to explicitly handle any remaining class imbalance and reduce false-negative rates for the highest-risk classes (glioma).</w:t>
      </w:r>
    </w:p>
    <w:p>
      <w:r>
        <w:br w:type="page"/>
      </w:r>
    </w:p>
    <w:p>
      <w:pPr>
        <w:pStyle w:val="Heading1"/>
        <w:spacing w:after="160" w:before="360"/>
      </w:pPr>
      <w:r>
        <w:rPr>
          <w:rFonts w:ascii="Arial" w:cs="Arial" w:eastAsia="Arial" w:hAnsi="Arial"/>
          <w:b/>
          <w:bCs/>
          <w:sz w:val="32"/>
          <w:szCs w:val="32"/>
        </w:rPr>
        <w:t xml:space="preserve">9. Flow Chart — Pipeline Overview</w:t>
      </w:r>
    </w:p>
    <w:p>
      <w:pPr>
        <w:spacing w:after="120" w:before="60"/>
        <w:jc w:val="both"/>
      </w:pPr>
      <w:r>
        <w:rPr>
          <w:rFonts w:ascii="Arial" w:cs="Arial" w:eastAsia="Arial" w:hAnsi="Arial"/>
          <w:b w:val="false"/>
          <w:bCs w:val="false"/>
          <w:sz w:val="22"/>
          <w:szCs w:val="22"/>
        </w:rPr>
        <w:t xml:space="preserve">The following table describes each stage of the brain tumor MRI classification pipeline in sequential order, from raw data to benchmark comparison: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Step</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 Data Collection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Download Kaggle Brain MRI dataset (7,023 images, 4 classes)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2. Data 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Inspect class distribution, image sizes, formats (audit_dataset.py)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 Preprocessing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Resize to 224×224, convert to RGB, normalize with ImageNet stats (preprocess.py)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4. Augmentation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 random flips, rotations ±15°, brightness/contrast jitter (augment.py)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5. Dataset Split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Stratified split: 1,400 train / 400 test per class → 4 test batches (split_dataset.py)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6. DataLoader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Custom BrainTumorDataset + PyTorch DataLoader, online augmentation (dataloader.py)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7. Model Build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 pretrained (ImageNet) + Dropout(0.5) + Linear(2048→4) (model.py)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8. Phase 1 Training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Freeze backbone, train classifier head: 5 epochs, LR=1e-3, Adam (train.py)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 Phase 2 Training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Unfreeze layers 2-4, fine-tune: up to 20 epochs, LR=1e-5, early stopping (train.py)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10. Evaluation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Evaluate on all 4 test batches, track cross-batch consistency (evaluate.py)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11. Metrics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Confusion matrix, per-class precision / recall / F1 (metrics.py)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12. Grad-CAM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Heatmaps via pytorch-grad-cam targeting model.layer4 (gradcam.py)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13. Visualization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Prediction grids, Grad-CAM overlays, training curves (visualize.py)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14. Ext. Validation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Run on TCIA samples, compute generalization gap (validate_external.py)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15. Benchmark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Compare vs. literature baselines: ResNet-50 99.68%, EfficientNet-B0 98.97% (benchmark.py)</w:t>
            </w:r>
          </w:p>
        </w:tc>
      </w:tr>
    </w:tbl>
    <w:p>
      <w:pPr>
        <w:spacing w:after="40" w:before="40"/>
      </w:pPr>
      <w:r>
        <w:t xml:space="preserve"/>
      </w:r>
    </w:p>
    <w:p>
      <w:pPr>
        <w:spacing w:after="120" w:before="60"/>
        <w:jc w:val="both"/>
      </w:pPr>
      <w:r>
        <w:rPr>
          <w:rFonts w:ascii="Arial" w:cs="Arial" w:eastAsia="Arial" w:hAnsi="Arial"/>
          <w:b w:val="false"/>
          <w:bCs w:val="false"/>
          <w:sz w:val="22"/>
          <w:szCs w:val="22"/>
        </w:rPr>
        <w:t xml:space="preserve">Each step corresponds to one or more Python scripts in the scripts/ directory. Scripts are designed to be run in order; each produces outputs (JSON, PNG, .pt checkpoint) consumed by subsequent stages. The full pipeline can be executed on Google Colab in a single session using train.py for the training stages and the evaluation scripts thereafter.</w:t>
      </w:r>
    </w:p>
    <w:p>
      <w:r>
        <w:br w:type="page"/>
      </w:r>
    </w:p>
    <w:p>
      <w:pPr>
        <w:pStyle w:val="Heading1"/>
        <w:spacing w:after="160" w:before="360"/>
      </w:pPr>
      <w:r>
        <w:rPr>
          <w:rFonts w:ascii="Arial" w:cs="Arial" w:eastAsia="Arial" w:hAnsi="Arial"/>
          <w:b/>
          <w:bCs/>
          <w:sz w:val="32"/>
          <w:szCs w:val="32"/>
        </w:rPr>
        <w:t xml:space="preserve">10. References</w:t>
      </w:r>
    </w:p>
    <w:p>
      <w:pPr>
        <w:spacing w:after="120" w:before="60"/>
        <w:jc w:val="both"/>
      </w:pPr>
      <w:r>
        <w:rPr>
          <w:rFonts w:ascii="Arial" w:cs="Arial" w:eastAsia="Arial" w:hAnsi="Arial"/>
          <w:b w:val="false"/>
          <w:bCs w:val="false"/>
          <w:sz w:val="22"/>
          <w:szCs w:val="22"/>
        </w:rPr>
        <w:t xml:space="preserve">He, K., Zhang, X., Ren, S., &amp; Sun, J. (2016). Deep residual learning for image recognition. In Proceedings of CVPR 2016. https://arxiv.org/abs/1512.03385</w:t>
      </w:r>
    </w:p>
    <w:p>
      <w:pPr>
        <w:spacing w:after="40" w:before="40"/>
      </w:pPr>
      <w:r>
        <w:t xml:space="preserve"/>
      </w:r>
    </w:p>
    <w:p>
      <w:pPr>
        <w:spacing w:after="120" w:before="60"/>
        <w:jc w:val="both"/>
      </w:pPr>
      <w:r>
        <w:rPr>
          <w:rFonts w:ascii="Arial" w:cs="Arial" w:eastAsia="Arial" w:hAnsi="Arial"/>
          <w:b w:val="false"/>
          <w:bCs w:val="false"/>
          <w:sz w:val="22"/>
          <w:szCs w:val="22"/>
        </w:rPr>
        <w:t xml:space="preserve">Selvaraju, R. R., Cogswell, M., Das, A., Vedantam, R., Parikh, D., &amp; Batra, D. (2017). Grad-CAM: Visual explanations from deep networks via gradient-based localization. In Proceedings of ICCV 2017. https://arxiv.org/abs/1610.02391</w:t>
      </w:r>
    </w:p>
    <w:p>
      <w:pPr>
        <w:spacing w:after="40" w:before="40"/>
      </w:pPr>
      <w:r>
        <w:t xml:space="preserve"/>
      </w:r>
    </w:p>
    <w:p>
      <w:pPr>
        <w:spacing w:after="120" w:before="60"/>
        <w:jc w:val="both"/>
      </w:pPr>
      <w:r>
        <w:rPr>
          <w:rFonts w:ascii="Arial" w:cs="Arial" w:eastAsia="Arial" w:hAnsi="Arial"/>
          <w:b w:val="false"/>
          <w:bCs w:val="false"/>
          <w:sz w:val="22"/>
          <w:szCs w:val="22"/>
        </w:rPr>
        <w:t xml:space="preserve">Tan, M., &amp; Le, Q. V. (2019). EfficientNet: Rethinking model scaling for convolutional neural networks. In Proceedings of ICML 2019. https://arxiv.org/abs/1905.11946</w:t>
      </w:r>
    </w:p>
    <w:p>
      <w:pPr>
        <w:spacing w:after="40" w:before="40"/>
      </w:pPr>
      <w:r>
        <w:t xml:space="preserve"/>
      </w:r>
    </w:p>
    <w:p>
      <w:pPr>
        <w:spacing w:after="120" w:before="60"/>
        <w:jc w:val="both"/>
      </w:pPr>
      <w:r>
        <w:rPr>
          <w:rFonts w:ascii="Arial" w:cs="Arial" w:eastAsia="Arial" w:hAnsi="Arial"/>
          <w:b w:val="false"/>
          <w:bCs w:val="false"/>
          <w:sz w:val="22"/>
          <w:szCs w:val="22"/>
        </w:rPr>
        <w:t xml:space="preserve">Simonyan, K., &amp; Zisserman, A. (2014). Very deep convolutional networks for large-scale image recognition. arXiv:1409.1556.</w:t>
      </w:r>
    </w:p>
    <w:p>
      <w:pPr>
        <w:spacing w:after="40" w:before="40"/>
      </w:pPr>
      <w:r>
        <w:t xml:space="preserve"/>
      </w:r>
    </w:p>
    <w:p>
      <w:pPr>
        <w:spacing w:after="120" w:before="60"/>
        <w:jc w:val="both"/>
      </w:pPr>
      <w:r>
        <w:rPr>
          <w:rFonts w:ascii="Arial" w:cs="Arial" w:eastAsia="Arial" w:hAnsi="Arial"/>
          <w:b w:val="false"/>
          <w:bCs w:val="false"/>
          <w:sz w:val="22"/>
          <w:szCs w:val="22"/>
        </w:rPr>
        <w:t xml:space="preserve">Dosovitskiy, A., et al. (2020). An image is worth 16×16 words: Transformers for image recognition at scale. arXiv:2010.11929.</w:t>
      </w:r>
    </w:p>
    <w:p>
      <w:pPr>
        <w:spacing w:after="40" w:before="40"/>
      </w:pPr>
      <w:r>
        <w:t xml:space="preserve"/>
      </w:r>
    </w:p>
    <w:p>
      <w:pPr>
        <w:spacing w:after="120" w:before="60"/>
        <w:jc w:val="both"/>
      </w:pPr>
      <w:r>
        <w:rPr>
          <w:rFonts w:ascii="Arial" w:cs="Arial" w:eastAsia="Arial" w:hAnsi="Arial"/>
          <w:b w:val="false"/>
          <w:bCs w:val="false"/>
          <w:sz w:val="22"/>
          <w:szCs w:val="22"/>
        </w:rPr>
        <w:t xml:space="preserve">Razavian, A. S., Azizpour, H., Sullivan, J., &amp; Carlsson, S. (2014). CNN features off-the-shelf: An astounding baseline for recognition. In CVPR Workshops 2014.</w:t>
      </w:r>
    </w:p>
    <w:p>
      <w:pPr>
        <w:spacing w:after="40" w:before="40"/>
      </w:pPr>
      <w:r>
        <w:t xml:space="preserve"/>
      </w:r>
    </w:p>
    <w:p>
      <w:pPr>
        <w:spacing w:after="120" w:before="60"/>
        <w:jc w:val="both"/>
      </w:pPr>
      <w:r>
        <w:rPr>
          <w:rFonts w:ascii="Arial" w:cs="Arial" w:eastAsia="Arial" w:hAnsi="Arial"/>
          <w:b w:val="false"/>
          <w:bCs w:val="false"/>
          <w:sz w:val="22"/>
          <w:szCs w:val="22"/>
        </w:rPr>
        <w:t xml:space="preserve">Deng, J., Dong, W., Socher, R., Li, L.-J., Li, K., &amp; Fei-Fei, L. (2009). ImageNet: A large-scale hierarchical image database. In Proceedings of CVPR 2009.</w:t>
      </w:r>
    </w:p>
    <w:p>
      <w:pPr>
        <w:spacing w:after="40" w:before="40"/>
      </w:pPr>
      <w:r>
        <w:t xml:space="preserve"/>
      </w:r>
    </w:p>
    <w:p>
      <w:pPr>
        <w:spacing w:after="120" w:before="60"/>
        <w:jc w:val="both"/>
      </w:pPr>
      <w:r>
        <w:rPr>
          <w:rFonts w:ascii="Arial" w:cs="Arial" w:eastAsia="Arial" w:hAnsi="Arial"/>
          <w:b w:val="false"/>
          <w:bCs w:val="false"/>
          <w:sz w:val="22"/>
          <w:szCs w:val="22"/>
        </w:rPr>
        <w:t xml:space="preserve">Buslaev, A., Iglovikov, V. I., Khvedchenya, E., Parinov, A., Druzhinin, M., &amp; Kalinin, A. A. (2020). Albumentations: Fast and flexible image augmentations. Information, 11(2), 125.</w:t>
      </w:r>
    </w:p>
    <w:p>
      <w:pPr>
        <w:spacing w:after="40" w:before="40"/>
      </w:pPr>
      <w:r>
        <w:t xml:space="preserve"/>
      </w:r>
    </w:p>
    <w:p>
      <w:pPr>
        <w:spacing w:after="120" w:before="60"/>
        <w:jc w:val="both"/>
      </w:pPr>
      <w:r>
        <w:rPr>
          <w:rFonts w:ascii="Arial" w:cs="Arial" w:eastAsia="Arial" w:hAnsi="Arial"/>
          <w:b w:val="false"/>
          <w:bCs w:val="false"/>
          <w:sz w:val="22"/>
          <w:szCs w:val="22"/>
        </w:rPr>
        <w:t xml:space="preserve">Kaggle Brain MRI Images Dataset. Navoneel Chakrabarty. https://www.kaggle.com/datasets/navoneel/brain-mri-images-for-brain-tumor-detection</w:t>
      </w:r>
    </w:p>
    <w:p>
      <w:pPr>
        <w:spacing w:after="40" w:before="40"/>
      </w:pPr>
      <w:r>
        <w:t xml:space="preserve"/>
      </w:r>
    </w:p>
    <w:p>
      <w:pPr>
        <w:spacing w:after="120" w:before="60"/>
        <w:jc w:val="both"/>
      </w:pPr>
      <w:r>
        <w:rPr>
          <w:rFonts w:ascii="Arial" w:cs="Arial" w:eastAsia="Arial" w:hAnsi="Arial"/>
          <w:b w:val="false"/>
          <w:bCs w:val="false"/>
          <w:sz w:val="22"/>
          <w:szCs w:val="22"/>
        </w:rPr>
        <w:t xml:space="preserve">Clark, K., et al. (2013). The Cancer Imaging Archive (TCIA): Maintaining and operating a public information repository. Journal of Digital Imaging, 26(6), 1045–1057.</w:t>
      </w:r>
    </w:p>
    <w:p>
      <w:pPr>
        <w:spacing w:after="40" w:before="40"/>
      </w:pPr>
      <w:r>
        <w:t xml:space="preserve"/>
      </w:r>
    </w:p>
    <w:p>
      <w:pPr>
        <w:spacing w:after="120" w:before="60"/>
        <w:jc w:val="both"/>
      </w:pPr>
      <w:r>
        <w:rPr>
          <w:rFonts w:ascii="Arial" w:cs="Arial" w:eastAsia="Arial" w:hAnsi="Arial"/>
          <w:b w:val="false"/>
          <w:bCs w:val="false"/>
          <w:sz w:val="22"/>
          <w:szCs w:val="22"/>
        </w:rPr>
        <w:t xml:space="preserve">Scientific Reports (2023). Fine-tuned ResNet-50 achieves 99.68% accuracy on 4-class brain tumor MRI classification. Nature Publishing Group.</w:t>
      </w:r>
    </w:p>
    <w:p>
      <w:pPr>
        <w:spacing w:after="40" w:before="40"/>
      </w:pPr>
      <w:r>
        <w:t xml:space="preserve"/>
      </w:r>
    </w:p>
    <w:p>
      <w:pPr>
        <w:spacing w:after="120" w:before="60"/>
        <w:jc w:val="both"/>
      </w:pPr>
      <w:r>
        <w:rPr>
          <w:rFonts w:ascii="Arial" w:cs="Arial" w:eastAsia="Arial" w:hAnsi="Arial"/>
          <w:b w:val="false"/>
          <w:bCs w:val="false"/>
          <w:sz w:val="22"/>
          <w:szCs w:val="22"/>
        </w:rPr>
        <w:t xml:space="preserve">Springer Nature (2022). Lightweight transfer learning for 4-class brain tumor MRI classification using EfficientNet-B0.</w:t>
      </w:r>
    </w:p>
    <w:p>
      <w:pPr>
        <w:spacing w:after="40" w:before="40"/>
      </w:pPr>
      <w:r>
        <w:t xml:space="preserve"/>
      </w:r>
    </w:p>
    <w:p>
      <w:pPr>
        <w:spacing w:after="120" w:before="60"/>
        <w:jc w:val="both"/>
      </w:pPr>
      <w:r>
        <w:rPr>
          <w:rFonts w:ascii="Arial" w:cs="Arial" w:eastAsia="Arial" w:hAnsi="Arial"/>
          <w:b w:val="false"/>
          <w:bCs w:val="false"/>
          <w:sz w:val="22"/>
          <w:szCs w:val="22"/>
        </w:rPr>
        <w:t xml:space="preserve">Schlemper, J., et al. (2019). Attention gated networks: Learning to leverage salient regions in medical images. Medical Image Analysis, 53, 197–207.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8"/>
        <w:szCs w:val="18"/>
      </w:rPr>
      <w:t xml:space="preserve">BMEN 207 Honors Project — Brain Tumor MRI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2026-04-23T23:39:10.370Z</dcterms:created>
  <dcterms:modified xsi:type="dcterms:W3CDTF">2026-04-23T23:39:10.370Z</dcterms:modified>
</cp:coreProperties>
</file>

<file path=docProps/custom.xml><?xml version="1.0" encoding="utf-8"?>
<Properties xmlns="http://schemas.openxmlformats.org/officeDocument/2006/custom-properties" xmlns:vt="http://schemas.openxmlformats.org/officeDocument/2006/docPropsVTypes"/>
</file>