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43600" cy="5210299"/>
            <wp:docPr id="1" name="Picture 1"/>
            <wp:cNvGraphicFramePr>
              <a:graphicFrameLocks noChangeAspect="1"/>
            </wp:cNvGraphicFramePr>
            <a:graphic>
              <a:graphicData uri="http://schemas.openxmlformats.org/drawingml/2006/picture">
                <pic:pic>
                  <pic:nvPicPr>
                    <pic:cNvPr id="0" name="cover_graphic.png"/>
                    <pic:cNvPicPr/>
                  </pic:nvPicPr>
                  <pic:blipFill>
                    <a:blip r:embed="rId13"/>
                    <a:stretch>
                      <a:fillRect/>
                    </a:stretch>
                  </pic:blipFill>
                  <pic:spPr>
                    <a:xfrm>
                      <a:off x="0" y="0"/>
                      <a:ext cx="5943600" cy="5210299"/>
                    </a:xfrm>
                    <a:prstGeom prst="rect"/>
                  </pic:spPr>
                </pic:pic>
              </a:graphicData>
            </a:graphic>
          </wp:inline>
        </w:drawing>
      </w:r>
    </w:p>
    <w:p>
      <w:pPr>
        <w:spacing w:after="120"/>
        <w:jc w:val="center"/>
      </w:pPr>
      <w:r>
        <w:rPr>
          <w:rFonts w:ascii="Fira Sans SemiBold" w:hAnsi="Fira Sans SemiBold" w:eastAsia="Fira Sans SemiBold"/>
          <w:b/>
          <w:i w:val="0"/>
          <w:color w:val="1F3864"/>
          <w:sz w:val="56"/>
        </w:rPr>
        <w:t>Teaming &amp; Subcontracting Proposal</w:t>
      </w:r>
    </w:p>
    <w:p>
      <w:pPr>
        <w:spacing w:after="400"/>
        <w:jc w:val="center"/>
      </w:pPr>
      <w:r>
        <w:rPr>
          <w:rFonts w:ascii="Fira Sans Light" w:hAnsi="Fira Sans Light" w:eastAsia="Fira Sans Light"/>
          <w:b w:val="0"/>
          <w:i w:val="0"/>
          <w:sz w:val="28"/>
        </w:rPr>
        <w:t>an Enterprise Financial Analysis &amp; Predictive Modeling System</w:t>
      </w:r>
    </w:p>
    <w:p>
      <w:pPr>
        <w:jc w:val="center"/>
      </w:pPr>
      <w:r>
        <w:rPr>
          <w:rFonts w:ascii="Fira Sans Light" w:hAnsi="Fira Sans Light" w:eastAsia="Fira Sans Light"/>
          <w:b w:val="0"/>
          <w:i w:val="0"/>
          <w:color w:val="595959"/>
          <w:sz w:val="19"/>
        </w:rPr>
        <w:t>Prepared for: Booz Allen Hamilton Inc.</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Prepared by: Ranjeet Kumar — Founder &amp; CEO, OrbitAvanya Tech LLP (AvanyaEdge)</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Engagement Reference: OAT-CES-2026-N00164-26-R-0001-PITCH</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Proposal Date: July 13, 2026</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Validity: 90 days from proposal date</w:t>
      </w:r>
    </w:p>
    <w:p>
      <w:r>
        <w:br w:type="page"/>
      </w:r>
    </w:p>
    <w:p>
      <w:pPr>
        <w:spacing w:after="200"/>
      </w:pPr>
      <w:r>
        <w:rPr>
          <w:rFonts w:ascii="Fira Sans SemiBold" w:hAnsi="Fira Sans SemiBold" w:eastAsia="Fira Sans SemiBold"/>
          <w:b/>
          <w:i w:val="0"/>
          <w:color w:val="1F3864"/>
          <w:sz w:val="40"/>
        </w:rPr>
        <w:t>Content</w:t>
      </w:r>
    </w:p>
    <w:tbl>
      <w:tblPr>
        <w:tblW w:type="auto" w:w="0"/>
        <w:jc w:val="left"/>
        <w:tblLayout w:type="fixed"/>
        <w:tblLook w:firstColumn="1" w:firstRow="1" w:lastColumn="0" w:lastRow="0" w:noHBand="0" w:noVBand="1" w:val="04A0"/>
      </w:tblPr>
      <w:tblGrid>
        <w:gridCol w:w="5400"/>
        <w:gridCol w:w="5400"/>
      </w:tblGrid>
      <w:tr>
        <w:tc>
          <w:tcPr>
            <w:tcW w:type="dxa" w:w="864"/>
          </w:tcPr>
          <w:p>
            <w:r>
              <w:rPr>
                <w:rFonts w:ascii="Fira Sans Light" w:hAnsi="Fira Sans Light" w:eastAsia="Fira Sans Light"/>
                <w:b/>
                <w:i w:val="0"/>
                <w:color w:val="1F3864"/>
                <w:sz w:val="22"/>
              </w:rPr>
              <w:t>01</w:t>
            </w:r>
          </w:p>
        </w:tc>
        <w:tc>
          <w:tcPr>
            <w:tcW w:type="dxa" w:w="9936"/>
          </w:tcPr>
          <w:p>
            <w:r>
              <w:rPr>
                <w:rFonts w:ascii="Fira Sans Light" w:hAnsi="Fira Sans Light" w:eastAsia="Fira Sans Light"/>
                <w:b w:val="0"/>
                <w:i w:val="0"/>
                <w:sz w:val="22"/>
              </w:rPr>
              <w:t>Executive Summary</w:t>
            </w:r>
          </w:p>
        </w:tc>
      </w:tr>
      <w:tr>
        <w:tc>
          <w:tcPr>
            <w:tcW w:type="dxa" w:w="864"/>
          </w:tcPr>
          <w:p>
            <w:r>
              <w:rPr>
                <w:rFonts w:ascii="Fira Sans Light" w:hAnsi="Fira Sans Light" w:eastAsia="Fira Sans Light"/>
                <w:b/>
                <w:i w:val="0"/>
                <w:color w:val="1F3864"/>
                <w:sz w:val="22"/>
              </w:rPr>
              <w:t>02</w:t>
            </w:r>
          </w:p>
        </w:tc>
        <w:tc>
          <w:tcPr>
            <w:tcW w:type="dxa" w:w="9936"/>
          </w:tcPr>
          <w:p>
            <w:r>
              <w:rPr>
                <w:rFonts w:ascii="Fira Sans Light" w:hAnsi="Fira Sans Light" w:eastAsia="Fira Sans Light"/>
                <w:b w:val="0"/>
                <w:i w:val="0"/>
                <w:sz w:val="22"/>
              </w:rPr>
              <w:t>Requirement Alignment</w:t>
            </w:r>
          </w:p>
        </w:tc>
      </w:tr>
      <w:tr>
        <w:tc>
          <w:tcPr>
            <w:tcW w:type="dxa" w:w="864"/>
          </w:tcPr>
          <w:p>
            <w:r>
              <w:rPr>
                <w:rFonts w:ascii="Fira Sans Light" w:hAnsi="Fira Sans Light" w:eastAsia="Fira Sans Light"/>
                <w:b/>
                <w:i w:val="0"/>
                <w:color w:val="1F3864"/>
                <w:sz w:val="22"/>
              </w:rPr>
              <w:t>03</w:t>
            </w:r>
          </w:p>
        </w:tc>
        <w:tc>
          <w:tcPr>
            <w:tcW w:type="dxa" w:w="9936"/>
          </w:tcPr>
          <w:p>
            <w:r>
              <w:rPr>
                <w:rFonts w:ascii="Fira Sans Light" w:hAnsi="Fira Sans Light" w:eastAsia="Fira Sans Light"/>
                <w:b w:val="0"/>
                <w:i w:val="0"/>
                <w:sz w:val="22"/>
              </w:rPr>
              <w:t>Proposed Work Share</w:t>
            </w:r>
          </w:p>
        </w:tc>
      </w:tr>
      <w:tr>
        <w:tc>
          <w:tcPr>
            <w:tcW w:type="dxa" w:w="864"/>
          </w:tcPr>
          <w:p>
            <w:r>
              <w:rPr>
                <w:rFonts w:ascii="Fira Sans Light" w:hAnsi="Fira Sans Light" w:eastAsia="Fira Sans Light"/>
                <w:b/>
                <w:i w:val="0"/>
                <w:color w:val="1F3864"/>
                <w:sz w:val="22"/>
              </w:rPr>
              <w:t>04</w:t>
            </w:r>
          </w:p>
        </w:tc>
        <w:tc>
          <w:tcPr>
            <w:tcW w:type="dxa" w:w="9936"/>
          </w:tcPr>
          <w:p>
            <w:r>
              <w:rPr>
                <w:rFonts w:ascii="Fira Sans Light" w:hAnsi="Fira Sans Light" w:eastAsia="Fira Sans Light"/>
                <w:b w:val="0"/>
                <w:i w:val="0"/>
                <w:sz w:val="22"/>
              </w:rPr>
              <w:t>Strategic Outreach</w:t>
            </w:r>
          </w:p>
        </w:tc>
      </w:tr>
    </w:tbl>
    <w:p>
      <w:pPr>
        <w:spacing w:after="200"/>
      </w:pPr>
    </w:p>
    <w:tbl>
      <w:tblPr>
        <w:tblW w:type="auto" w:w="0"/>
        <w:jc w:val="center"/>
        <w:tblLayout w:type="fixed"/>
        <w:tblLook w:firstColumn="1" w:firstRow="1" w:lastColumn="0" w:lastRow="0" w:noHBand="0" w:noVBand="1" w:val="04A0"/>
      </w:tblPr>
      <w:tblGrid>
        <w:gridCol w:w="5400"/>
        <w:gridCol w:w="5400"/>
      </w:tblGrid>
      <w:tr>
        <w:tc>
          <w:tcPr>
            <w:tcW w:type="dxa" w:w="5400"/>
            <w:shd w:val="clear" w:color="auto" w:fill="F2F2F2"/>
          </w:tcPr>
          <w:p>
            <w:r/>
            <w:r>
              <w:rPr>
                <w:rFonts w:ascii="Fira Sans Light" w:hAnsi="Fira Sans Light" w:eastAsia="Fira Sans Light"/>
                <w:b/>
                <w:i w:val="0"/>
                <w:sz w:val="20"/>
              </w:rPr>
              <w:t>Contact</w:t>
            </w:r>
          </w:p>
          <w:p>
            <w:r>
              <w:rPr>
                <w:rFonts w:ascii="Fira Sans Light" w:hAnsi="Fira Sans Light" w:eastAsia="Fira Sans Light"/>
                <w:b w:val="0"/>
                <w:i w:val="0"/>
                <w:sz w:val="20"/>
              </w:rPr>
              <w:t>13352 Kettle Camp Rd</w:t>
            </w:r>
          </w:p>
          <w:p>
            <w:r>
              <w:rPr>
                <w:rFonts w:ascii="Fira Sans Light" w:hAnsi="Fira Sans Light" w:eastAsia="Fira Sans Light"/>
                <w:b w:val="0"/>
                <w:i w:val="0"/>
                <w:sz w:val="20"/>
              </w:rPr>
              <w:t>Frisco, Texas 75035</w:t>
            </w:r>
          </w:p>
        </w:tc>
        <w:tc>
          <w:tcPr>
            <w:tcW w:type="dxa" w:w="5400"/>
            <w:shd w:val="clear" w:color="auto" w:fill="F2F2F2"/>
          </w:tcPr>
          <w:p>
            <w:pPr>
              <w:jc w:val="right"/>
            </w:pPr>
            <w:r/>
            <w:r>
              <w:rPr>
                <w:rFonts w:ascii="Fira Sans Light" w:hAnsi="Fira Sans Light" w:eastAsia="Fira Sans Light"/>
                <w:b w:val="0"/>
                <w:i w:val="0"/>
                <w:sz w:val="20"/>
              </w:rPr>
              <w:t>Phone: +917021950643</w:t>
            </w:r>
          </w:p>
          <w:p>
            <w:pPr>
              <w:jc w:val="right"/>
            </w:pPr>
            <w:r>
              <w:rPr>
                <w:rFonts w:ascii="Fira Sans Light" w:hAnsi="Fira Sans Light" w:eastAsia="Fira Sans Light"/>
                <w:b w:val="0"/>
                <w:i w:val="0"/>
                <w:sz w:val="20"/>
              </w:rPr>
              <w:t>www.orbitavanyatech.com</w:t>
            </w:r>
          </w:p>
        </w:tc>
      </w:tr>
      <w:tr>
        <w:tc>
          <w:tcPr>
            <w:tcW w:type="dxa" w:w="5400"/>
            <w:gridSpan w:val="2"/>
            <w:shd w:val="clear" w:color="auto" w:fill="D9D9D9"/>
          </w:tcPr>
          <w:p>
            <w:pPr>
              <w:spacing w:after="120"/>
            </w:pPr>
            <w:r/>
            <w:r>
              <w:rPr>
                <w:rFonts w:ascii="Fira Sans Light" w:hAnsi="Fira Sans Light" w:eastAsia="Fira Sans Light"/>
                <w:b w:val="0"/>
                <w:i w:val="0"/>
                <w:color w:val="595959"/>
                <w:sz w:val="17"/>
              </w:rPr>
              <w:t>This document contains confidential information of OrbitAvanya Tech LLP and its affiliates and/or licensors (“OrbitAvanya”), which may include trade secrets, proprietary methodology, and business information. The recipient acknowledges that this information has been developed by OrbitAvanya as valuable trade secrets and shall remain its exclusive property, to be disclosed only to persons who have a need to know. The recipient agrees not to copy or reproduce any information supplied herein without prior written permission from an authorized representative of OrbitAvanya.</w:t>
            </w:r>
          </w:p>
          <w:p>
            <w:pPr>
              <w:spacing w:after="120"/>
            </w:pPr>
            <w:r>
              <w:rPr>
                <w:rFonts w:ascii="Fira Sans Light" w:hAnsi="Fira Sans Light" w:eastAsia="Fira Sans Light"/>
                <w:b w:val="0"/>
                <w:i w:val="0"/>
                <w:color w:val="595959"/>
                <w:sz w:val="17"/>
              </w:rPr>
              <w:t>Reciprocally, OrbitAvanya acknowledges that information shared by the recipient during proposal review and any subsequent engagement constitutes confidential information of the recipient, and agrees to protect it to the same standard and to use it solely for the purposes of the engagement contemplated herein.</w:t>
            </w:r>
          </w:p>
        </w:tc>
      </w:tr>
    </w:tbl>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Executive Summary</w:t>
      </w:r>
    </w:p>
    <w:p>
      <w:pPr>
        <w:spacing w:after="160"/>
        <w:jc w:val="both"/>
      </w:pPr>
      <w:r>
        <w:rPr>
          <w:rFonts w:ascii="Fira Sans Light" w:hAnsi="Fira Sans Light" w:eastAsia="Fira Sans Light"/>
          <w:b w:val="0"/>
          <w:i w:val="0"/>
          <w:sz w:val="22"/>
        </w:rPr>
        <w:t>Dear Team at Booz Allen Hamilton Inc.,</w:t>
      </w:r>
    </w:p>
    <w:p>
      <w:pPr>
        <w:spacing w:after="160"/>
        <w:jc w:val="both"/>
      </w:pPr>
      <w:r>
        <w:rPr>
          <w:rFonts w:ascii="Fira Sans Light" w:hAnsi="Fira Sans Light" w:eastAsia="Fira Sans Light"/>
          <w:b w:val="0"/>
          <w:i w:val="0"/>
          <w:sz w:val="22"/>
        </w:rPr>
        <w:t>First, congratulations on winning the prime contract award for VA/DHS Solicitation N00164-26-R-0001 (an Enterprise Financial Analysis &amp; Predictive Modeling System)!</w:t>
      </w:r>
    </w:p>
    <w:p>
      <w:pPr>
        <w:spacing w:after="160"/>
        <w:jc w:val="both"/>
      </w:pPr>
      <w:r>
        <w:rPr>
          <w:rFonts w:ascii="Fira Sans Light" w:hAnsi="Fira Sans Light" w:eastAsia="Fira Sans Light"/>
          <w:b w:val="0"/>
          <w:i w:val="0"/>
          <w:sz w:val="22"/>
        </w:rPr>
        <w:t>Orbit Avanya LLP is writing to propose a strategic subcontracting partnership to support your delivery team on this contract. As an agile technology firm specializing in secure visual dashboards and database integrations, we offer a pre-built AI Analytics Dashboard product framework that fits the technical requirements of this project.</w:t>
      </w:r>
    </w:p>
    <w:p>
      <w:pPr>
        <w:spacing w:after="160"/>
        <w:jc w:val="both"/>
      </w:pPr>
      <w:r>
        <w:rPr>
          <w:rFonts w:ascii="Fira Sans Light" w:hAnsi="Fira Sans Light" w:eastAsia="Fira Sans Light"/>
          <w:b w:val="0"/>
          <w:i w:val="0"/>
          <w:sz w:val="22"/>
        </w:rPr>
        <w:t>We propose taking on a 15.0% subcontracting work share, specifically focusing on building the Next.js dashboards, configuring the Python ETL data pipelines, and implementing the security compliance logging layers. By teaming with Orbit Avanya, Booz Allen Hamilton Inc. gains access to certified visual analytics developers and pre-tested database interfaces, reducing implementation timeframes and mitigating technical execution risk.</w:t>
      </w:r>
    </w:p>
    <w:p>
      <w:pPr>
        <w:spacing w:after="160"/>
        <w:jc w:val="both"/>
      </w:pPr>
      <w:r>
        <w:rPr>
          <w:rFonts w:ascii="Fira Sans Light" w:hAnsi="Fira Sans Light" w:eastAsia="Fira Sans Light"/>
          <w:b w:val="0"/>
          <w:i w:val="0"/>
          <w:sz w:val="22"/>
        </w:rPr>
        <w:t>We look forward to discussing how our AI Analytics Dashboard capabilities can align with your program delivery plans.</w:t>
      </w:r>
    </w:p>
    <w:p>
      <w:pPr>
        <w:spacing w:before="240"/>
      </w:pPr>
      <w:r>
        <w:rPr>
          <w:rFonts w:ascii="Fira Sans Light" w:hAnsi="Fira Sans Light" w:eastAsia="Fira Sans Light"/>
          <w:b w:val="0"/>
          <w:i w:val="0"/>
          <w:sz w:val="22"/>
        </w:rPr>
        <w:t>Respectfully,</w:t>
        <w:br/>
        <w:br/>
      </w:r>
      <w:r>
        <w:rPr>
          <w:rFonts w:ascii="Fira Sans Light" w:hAnsi="Fira Sans Light" w:eastAsia="Fira Sans Light"/>
          <w:b/>
          <w:i w:val="0"/>
          <w:sz w:val="22"/>
        </w:rPr>
        <w:t>Ranjeet Kumar Singh</w:t>
      </w:r>
    </w:p>
    <w:p>
      <w:pPr>
        <w:spacing w:after="0"/>
      </w:pPr>
      <w:r>
        <w:rPr>
          <w:rFonts w:ascii="Fira Sans Light" w:hAnsi="Fira Sans Light" w:eastAsia="Fira Sans Light"/>
          <w:b w:val="0"/>
          <w:i w:val="0"/>
          <w:sz w:val="22"/>
        </w:rPr>
        <w:t>Founder &amp; CEO</w:t>
      </w:r>
    </w:p>
    <w:p>
      <w:pPr>
        <w:spacing w:after="0"/>
      </w:pPr>
      <w:r>
        <w:rPr>
          <w:rFonts w:ascii="Fira Sans Light" w:hAnsi="Fira Sans Light" w:eastAsia="Fira Sans Light"/>
          <w:b w:val="0"/>
          <w:i w:val="0"/>
          <w:sz w:val="22"/>
        </w:rPr>
        <w:t>OrbitAvanya Tech LLP (AvanyaEdge)</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Requirement Alignment</w:t>
      </w:r>
    </w:p>
    <w:p>
      <w:pPr>
        <w:spacing w:after="160"/>
        <w:jc w:val="both"/>
      </w:pPr>
      <w:r>
        <w:rPr>
          <w:rFonts w:ascii="Fira Sans Light" w:hAnsi="Fira Sans Light" w:eastAsia="Fira Sans Light"/>
          <w:b w:val="0"/>
          <w:i w:val="0"/>
          <w:sz w:val="22"/>
        </w:rPr>
        <w:t>The following tables demonstrate the alignment between the RFP solicitation requirements and our product capabilities.</w:t>
      </w:r>
    </w:p>
    <w:p>
      <w:pPr>
        <w:spacing w:before="200" w:after="80"/>
      </w:pPr>
      <w:r>
        <w:rPr>
          <w:rFonts w:ascii="Fira Sans SemiBold" w:hAnsi="Fira Sans SemiBold" w:eastAsia="Fira Sans SemiBold"/>
          <w:b/>
          <w:i w:val="0"/>
          <w:sz w:val="25"/>
        </w:rPr>
        <w:t>Technical Capability Matrix</w:t>
      </w:r>
    </w:p>
    <w:tbl>
      <w:tblPr>
        <w:tblStyle w:val="TableGrid"/>
        <w:tblW w:type="auto" w:w="0"/>
        <w:jc w:val="center"/>
        <w:tblLayout w:type="fixed"/>
        <w:tblLook w:firstColumn="1" w:firstRow="1" w:lastColumn="0" w:lastRow="0" w:noHBand="0" w:noVBand="1" w:val="04A0"/>
      </w:tblPr>
      <w:tblGrid>
        <w:gridCol w:w="3600"/>
        <w:gridCol w:w="3600"/>
        <w:gridCol w:w="3600"/>
      </w:tblGrid>
      <w:tr>
        <w:tc>
          <w:tcPr>
            <w:tcW w:type="dxa" w:w="3168"/>
            <w:shd w:val="clear" w:color="auto" w:fill="1F3864"/>
          </w:tcPr>
          <w:p>
            <w:r/>
            <w:r>
              <w:rPr>
                <w:rFonts w:ascii="Fira Sans Light" w:hAnsi="Fira Sans Light" w:eastAsia="Fira Sans Light"/>
                <w:b/>
                <w:i w:val="0"/>
                <w:color w:val="FFFFFF"/>
                <w:sz w:val="21"/>
              </w:rPr>
              <w:t>RFP Required Capability</w:t>
            </w:r>
          </w:p>
        </w:tc>
        <w:tc>
          <w:tcPr>
            <w:tcW w:type="dxa" w:w="3312"/>
            <w:shd w:val="clear" w:color="auto" w:fill="1F3864"/>
          </w:tcPr>
          <w:p>
            <w:r/>
            <w:r>
              <w:rPr>
                <w:rFonts w:ascii="Fira Sans Light" w:hAnsi="Fira Sans Light" w:eastAsia="Fira Sans Light"/>
                <w:b/>
                <w:i w:val="0"/>
                <w:color w:val="FFFFFF"/>
                <w:sz w:val="21"/>
              </w:rPr>
              <w:t>Our Matched Capability</w:t>
            </w:r>
          </w:p>
        </w:tc>
        <w:tc>
          <w:tcPr>
            <w:tcW w:type="dxa" w:w="3600"/>
            <w:shd w:val="clear" w:color="auto" w:fill="1F3864"/>
          </w:tcPr>
          <w:p>
            <w:r/>
            <w:r>
              <w:rPr>
                <w:rFonts w:ascii="Fira Sans Light" w:hAnsi="Fira Sans Light" w:eastAsia="Fira Sans Light"/>
                <w:b/>
                <w:i w:val="0"/>
                <w:color w:val="FFFFFF"/>
                <w:sz w:val="21"/>
              </w:rPr>
              <w:t>How It Aligns</w:t>
            </w:r>
          </w:p>
        </w:tc>
      </w:tr>
      <w:tr>
        <w:tc>
          <w:tcPr>
            <w:tcW w:type="dxa" w:w="3168"/>
          </w:tcPr>
          <w:p>
            <w:r/>
            <w:r>
              <w:rPr>
                <w:rFonts w:ascii="Fira Sans Light" w:hAnsi="Fira Sans Light" w:eastAsia="Fira Sans Light"/>
                <w:b w:val="0"/>
                <w:i w:val="0"/>
                <w:sz w:val="20"/>
              </w:rPr>
              <w:t>Database Management</w:t>
            </w:r>
          </w:p>
        </w:tc>
        <w:tc>
          <w:tcPr>
            <w:tcW w:type="dxa" w:w="3312"/>
          </w:tcPr>
          <w:p>
            <w:r/>
            <w:r>
              <w:rPr>
                <w:rFonts w:ascii="Fira Sans Light" w:hAnsi="Fira Sans Light" w:eastAsia="Fira Sans Light"/>
                <w:b w:val="0"/>
                <w:i w:val="0"/>
                <w:sz w:val="20"/>
              </w:rPr>
              <w:t>PostgreSQL &amp; MongoDB Optimization</w:t>
            </w:r>
          </w:p>
        </w:tc>
        <w:tc>
          <w:tcPr>
            <w:tcW w:type="dxa" w:w="3600"/>
          </w:tcPr>
          <w:p>
            <w:r/>
            <w:r>
              <w:rPr>
                <w:rFonts w:ascii="Fira Sans Light" w:hAnsi="Fira Sans Light" w:eastAsia="Fira Sans Light"/>
                <w:b w:val="0"/>
                <w:i w:val="0"/>
                <w:sz w:val="20"/>
              </w:rPr>
              <w:t>Enforces database performance optimization, indexing, and clustering using PostgreSQL and MongoDB.</w:t>
            </w:r>
          </w:p>
        </w:tc>
      </w:tr>
    </w:tbl>
    <w:p>
      <w:pPr>
        <w:spacing w:after="80"/>
      </w:pP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Proposed Work Share</w:t>
      </w:r>
    </w:p>
    <w:p>
      <w:pPr>
        <w:spacing w:after="160"/>
        <w:jc w:val="both"/>
      </w:pPr>
      <w:r>
        <w:rPr>
          <w:rFonts w:ascii="Fira Sans Light" w:hAnsi="Fira Sans Light" w:eastAsia="Fira Sans Light"/>
          <w:b w:val="0"/>
          <w:i w:val="0"/>
          <w:sz w:val="22"/>
        </w:rPr>
        <w:t>OrbitAvanya Tech LLP proposes a work share allocation of 15.0% of the total contract value. The breakdown is structured as follows:</w:t>
      </w:r>
    </w:p>
    <w:tbl>
      <w:tblPr>
        <w:tblStyle w:val="TableGrid"/>
        <w:tblW w:type="auto" w:w="0"/>
        <w:jc w:val="center"/>
        <w:tblLayout w:type="fixed"/>
        <w:tblLook w:firstColumn="1" w:firstRow="1" w:lastColumn="0" w:lastRow="0" w:noHBand="0" w:noVBand="1" w:val="04A0"/>
      </w:tblPr>
      <w:tblGrid>
        <w:gridCol w:w="5400"/>
        <w:gridCol w:w="5400"/>
      </w:tblGrid>
      <w:tr>
        <w:tc>
          <w:tcPr>
            <w:tcW w:type="dxa" w:w="6480"/>
            <w:shd w:val="clear" w:color="auto" w:fill="1F3864"/>
          </w:tcPr>
          <w:p>
            <w:r/>
            <w:r>
              <w:rPr>
                <w:rFonts w:ascii="Fira Sans Light" w:hAnsi="Fira Sans Light" w:eastAsia="Fira Sans Light"/>
                <w:b/>
                <w:i w:val="0"/>
                <w:color w:val="FFFFFF"/>
                <w:sz w:val="21"/>
              </w:rPr>
              <w:t>Proposed Task Area</w:t>
            </w:r>
          </w:p>
        </w:tc>
        <w:tc>
          <w:tcPr>
            <w:tcW w:type="dxa" w:w="3600"/>
            <w:shd w:val="clear" w:color="auto" w:fill="1F3864"/>
          </w:tcPr>
          <w:p>
            <w:r/>
            <w:r>
              <w:rPr>
                <w:rFonts w:ascii="Fira Sans Light" w:hAnsi="Fira Sans Light" w:eastAsia="Fira Sans Light"/>
                <w:b/>
                <w:i w:val="0"/>
                <w:color w:val="FFFFFF"/>
                <w:sz w:val="21"/>
              </w:rPr>
              <w:t>Scope Percentage</w:t>
            </w:r>
          </w:p>
        </w:tc>
      </w:tr>
      <w:tr>
        <w:tc>
          <w:tcPr>
            <w:tcW w:type="dxa" w:w="6480"/>
          </w:tcPr>
          <w:p>
            <w:r/>
            <w:r>
              <w:rPr>
                <w:rFonts w:ascii="Fira Sans Light" w:hAnsi="Fira Sans Light" w:eastAsia="Fira Sans Light"/>
                <w:b w:val="0"/>
                <w:i w:val="0"/>
                <w:sz w:val="20"/>
              </w:rPr>
              <w:t>Visual Dashboards &amp; Predictive Widgets Development</w:t>
            </w:r>
          </w:p>
        </w:tc>
        <w:tc>
          <w:tcPr>
            <w:tcW w:type="dxa" w:w="3600"/>
          </w:tcPr>
          <w:p>
            <w:r/>
            <w:r>
              <w:rPr>
                <w:rFonts w:ascii="Fira Sans Light" w:hAnsi="Fira Sans Light" w:eastAsia="Fira Sans Light"/>
                <w:b w:val="0"/>
                <w:i w:val="0"/>
                <w:sz w:val="20"/>
              </w:rPr>
              <w:t>6.0%</w:t>
            </w:r>
          </w:p>
        </w:tc>
      </w:tr>
      <w:tr>
        <w:tc>
          <w:tcPr>
            <w:tcW w:type="dxa" w:w="6480"/>
          </w:tcPr>
          <w:p>
            <w:r/>
            <w:r>
              <w:rPr>
                <w:rFonts w:ascii="Fira Sans Light" w:hAnsi="Fira Sans Light" w:eastAsia="Fira Sans Light"/>
                <w:b w:val="0"/>
                <w:i w:val="0"/>
                <w:sz w:val="20"/>
              </w:rPr>
              <w:t>Data Warehousing &amp; ETL Pipeline Setup</w:t>
            </w:r>
          </w:p>
        </w:tc>
        <w:tc>
          <w:tcPr>
            <w:tcW w:type="dxa" w:w="3600"/>
          </w:tcPr>
          <w:p>
            <w:r/>
            <w:r>
              <w:rPr>
                <w:rFonts w:ascii="Fira Sans Light" w:hAnsi="Fira Sans Light" w:eastAsia="Fira Sans Light"/>
                <w:b w:val="0"/>
                <w:i w:val="0"/>
                <w:sz w:val="20"/>
              </w:rPr>
              <w:t>5.2%</w:t>
            </w:r>
          </w:p>
        </w:tc>
      </w:tr>
      <w:tr>
        <w:tc>
          <w:tcPr>
            <w:tcW w:type="dxa" w:w="6480"/>
          </w:tcPr>
          <w:p>
            <w:r/>
            <w:r>
              <w:rPr>
                <w:rFonts w:ascii="Fira Sans Light" w:hAnsi="Fira Sans Light" w:eastAsia="Fira Sans Light"/>
                <w:b w:val="0"/>
                <w:i w:val="0"/>
                <w:sz w:val="20"/>
              </w:rPr>
              <w:t>Security Enforcement &amp; Compliance Hardening</w:t>
            </w:r>
          </w:p>
        </w:tc>
        <w:tc>
          <w:tcPr>
            <w:tcW w:type="dxa" w:w="3600"/>
          </w:tcPr>
          <w:p>
            <w:r/>
            <w:r>
              <w:rPr>
                <w:rFonts w:ascii="Fira Sans Light" w:hAnsi="Fira Sans Light" w:eastAsia="Fira Sans Light"/>
                <w:b w:val="0"/>
                <w:i w:val="0"/>
                <w:sz w:val="20"/>
              </w:rPr>
              <w:t>3.8%</w:t>
            </w:r>
          </w:p>
        </w:tc>
      </w:tr>
    </w:tbl>
    <w:p>
      <w:pPr>
        <w:spacing w:after="80"/>
      </w:pP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Strategic Outreach</w:t>
      </w:r>
    </w:p>
    <w:p>
      <w:pPr>
        <w:spacing w:before="200" w:after="80"/>
      </w:pPr>
      <w:r>
        <w:rPr>
          <w:rFonts w:ascii="Fira Sans SemiBold" w:hAnsi="Fira Sans SemiBold" w:eastAsia="Fira Sans SemiBold"/>
          <w:b/>
          <w:i w:val="0"/>
          <w:sz w:val="25"/>
        </w:rPr>
        <w:t>Strategic Contact Point</w:t>
      </w:r>
    </w:p>
    <w:p>
      <w:pPr>
        <w:spacing w:after="160"/>
        <w:jc w:val="both"/>
      </w:pPr>
      <w:r>
        <w:rPr>
          <w:rFonts w:ascii="Fira Sans Light" w:hAnsi="Fira Sans Light" w:eastAsia="Fira Sans Light"/>
          <w:b w:val="0"/>
          <w:i w:val="0"/>
          <w:sz w:val="22"/>
        </w:rPr>
        <w:t>Subject: Subcontracting Partnership Proposal: VA/DHS Solicitation N00164-26-R-0001 - Orbit Avanya &amp; Booz Allen Hamilton Inc.</w:t>
      </w:r>
    </w:p>
    <w:p>
      <w:pPr>
        <w:spacing w:after="160"/>
        <w:jc w:val="both"/>
      </w:pPr>
      <w:r>
        <w:rPr>
          <w:rFonts w:ascii="Fira Sans Light" w:hAnsi="Fira Sans Light" w:eastAsia="Fira Sans Light"/>
          <w:b w:val="0"/>
          <w:i w:val="0"/>
          <w:sz w:val="22"/>
        </w:rPr>
        <w:t>Email Text:</w:t>
        <w:br/>
      </w:r>
    </w:p>
    <w:sectPr w:rsidR="00FC693F" w:rsidRPr="0006063C" w:rsidSect="00034616">
      <w:headerReference w:type="first" r:id="rId9"/>
      <w:footerReference w:type="first" r:id="rId10"/>
      <w:headerReference w:type="default" r:id="rId11"/>
      <w:footerReference w:type="default" r:id="rId12"/>
      <w:pgSz w:w="12240" w:h="15840"/>
      <w:pgMar w:top="720" w:right="720" w:bottom="720" w:left="72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400"/>
      <w:gridCol w:w="5400"/>
    </w:tblGrid>
    <w:tr>
      <w:tc>
        <w:tcPr>
          <w:tcW w:type="dxa" w:w="5400"/>
        </w:tcPr>
        <w:p>
          <w: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75506"/>
                        </a:xfrm>
                        <a:prstGeom prst="rect"/>
                      </pic:spPr>
                    </pic:pic>
                  </a:graphicData>
                </a:graphic>
              </wp:inline>
            </w:drawing>
          </w:r>
        </w:p>
      </w:tc>
      <w:tc>
        <w:tcPr>
          <w:tcW w:type="dxa" w:w="5400"/>
        </w:tcPr>
        <w:p>
          <w:pPr>
            <w:jc w:val="right"/>
          </w:pPr>
          <w:r/>
          <w:r>
            <w:rPr>
              <w:rFonts w:ascii="Fira Sans Light" w:hAnsi="Fira Sans Light" w:eastAsia="Fira Sans Light"/>
              <w:b w:val="0"/>
              <w:i w:val="0"/>
              <w:color w:val="595959"/>
              <w:sz w:val="16"/>
            </w:rPr>
            <w:t>OrbitAvanya Tech LLP</w:t>
            <w:br/>
          </w:r>
          <w:r>
            <w:rPr>
              <w:rFonts w:ascii="Fira Sans Light" w:hAnsi="Fira Sans Light" w:eastAsia="Fira Sans Light"/>
              <w:b w:val="0"/>
              <w:i w:val="0"/>
              <w:color w:val="595959"/>
              <w:sz w:val="20"/>
            </w:rPr>
            <w:t>www.orbitavanyatech.com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7550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00"/>
      <w:gridCol w:w="5400"/>
    </w:tblGrid>
    <w:tr>
      <w:tc>
        <w:tcPr>
          <w:tcW w:type="dxa" w:w="5400"/>
        </w:tcPr>
        <w:p>
          <w:r/>
          <w:r>
            <w:rPr>
              <w:rFonts w:ascii="Fira Sans Light" w:hAnsi="Fira Sans Light" w:eastAsia="Fira Sans Light"/>
              <w:b w:val="0"/>
              <w:i w:val="0"/>
              <w:sz w:val="20"/>
            </w:rPr>
            <w:t>Customer</w:t>
            <w:br/>
          </w:r>
          <w:r>
            <w:rPr>
              <w:rFonts w:ascii="Fira Sans SemiBold" w:hAnsi="Fira Sans SemiBold" w:eastAsia="Fira Sans SemiBold"/>
              <w:b/>
              <w:i w:val="0"/>
              <w:sz w:val="20"/>
            </w:rPr>
            <w:t>Booz Allen Hamilton Inc.</w:t>
          </w:r>
        </w:p>
      </w:tc>
      <w:tc>
        <w:tcPr>
          <w:tcW w:type="dxa" w:w="5400"/>
        </w:tcPr>
        <w:p>
          <w:pPr>
            <w:jc w:val="right"/>
          </w:pPr>
          <w:r/>
          <w:r>
            <w:rPr>
              <w:rFonts w:ascii="Fira Sans SemiBold" w:hAnsi="Fira Sans SemiBold" w:eastAsia="Fira Sans SemiBold"/>
              <w:b/>
              <w:i w:val="0"/>
              <w:sz w:val="20"/>
            </w:rPr>
            <w:t>Proposal</w:t>
            <w:br/>
          </w:r>
          <w:r>
            <w:rPr>
              <w:rFonts w:ascii="Fira Sans Light" w:hAnsi="Fira Sans Light" w:eastAsia="Fira Sans Light"/>
              <w:b w:val="0"/>
              <w:i w:val="0"/>
              <w:sz w:val="16"/>
            </w:rPr>
            <w:t>OrbitAvanya Tech LLP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