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5943600" cy="2218898"/>
            <wp:docPr id="1" name="Picture 1"/>
            <wp:cNvGraphicFramePr>
              <a:graphicFrameLocks noChangeAspect="1"/>
            </wp:cNvGraphicFramePr>
            <a:graphic>
              <a:graphicData uri="http://schemas.openxmlformats.org/drawingml/2006/picture">
                <pic:pic>
                  <pic:nvPicPr>
                    <pic:cNvPr id="0" name="WK T360 Proposal - September 11, 2024_extracted_logo.png"/>
                    <pic:cNvPicPr/>
                  </pic:nvPicPr>
                  <pic:blipFill>
                    <a:blip r:embed="rId13"/>
                    <a:stretch>
                      <a:fillRect/>
                    </a:stretch>
                  </pic:blipFill>
                  <pic:spPr>
                    <a:xfrm>
                      <a:off x="0" y="0"/>
                      <a:ext cx="5943600" cy="2218898"/>
                    </a:xfrm>
                    <a:prstGeom prst="rect"/>
                  </pic:spPr>
                </pic:pic>
              </a:graphicData>
            </a:graphic>
          </wp:inline>
        </w:drawing>
      </w:r>
    </w:p>
    <w:p>
      <w:pPr>
        <w:spacing w:after="120"/>
        <w:jc w:val="center"/>
      </w:pPr>
      <w:r>
        <w:rPr>
          <w:rFonts w:ascii="Calibri" w:hAnsi="Calibri" w:eastAsia="Calibri"/>
          <w:b/>
          <w:i w:val="0"/>
          <w:color w:val="2E74B5"/>
          <w:sz w:val="56"/>
        </w:rPr>
        <w:t>Response to Secure Proposal Automation Support</w:t>
      </w:r>
    </w:p>
    <w:p>
      <w:pPr>
        <w:spacing w:after="400"/>
        <w:jc w:val="center"/>
      </w:pPr>
      <w:r>
        <w:rPr>
          <w:rFonts w:ascii="Calibri" w:hAnsi="Calibri" w:eastAsia="Calibri"/>
          <w:b w:val="0"/>
          <w:i w:val="0"/>
          <w:sz w:val="28"/>
        </w:rPr>
        <w:t>Technical, Commercial, and Compliance Proposal</w:t>
      </w:r>
    </w:p>
    <w:p>
      <w:pPr>
        <w:jc w:val="center"/>
      </w:pPr>
      <w:r>
        <w:rPr>
          <w:rFonts w:ascii="Calibri" w:hAnsi="Calibri" w:eastAsia="Calibri"/>
          <w:b w:val="0"/>
          <w:i w:val="0"/>
          <w:color w:val="595959"/>
          <w:sz w:val="19"/>
        </w:rPr>
        <w:t>Prepared for: Sample Evaluation Agency</w:t>
      </w:r>
      <w:r>
        <w:rPr>
          <w:rFonts w:ascii="Calibri" w:hAnsi="Calibri" w:eastAsia="Calibri"/>
          <w:b w:val="0"/>
          <w:i w:val="0"/>
          <w:color w:val="595959"/>
          <w:sz w:val="19"/>
        </w:rPr>
        <w:t xml:space="preserve">  |  </w:t>
      </w:r>
      <w:r>
        <w:rPr>
          <w:rFonts w:ascii="Calibri" w:hAnsi="Calibri" w:eastAsia="Calibri"/>
          <w:b w:val="0"/>
          <w:i w:val="0"/>
          <w:color w:val="595959"/>
          <w:sz w:val="19"/>
        </w:rPr>
        <w:t>Prepared by: OrbitAvanya Tech LLP</w:t>
      </w:r>
      <w:r>
        <w:rPr>
          <w:rFonts w:ascii="Calibri" w:hAnsi="Calibri" w:eastAsia="Calibri"/>
          <w:b w:val="0"/>
          <w:i w:val="0"/>
          <w:color w:val="595959"/>
          <w:sz w:val="19"/>
        </w:rPr>
        <w:t xml:space="preserve">  |  </w:t>
      </w:r>
      <w:r>
        <w:rPr>
          <w:rFonts w:ascii="Calibri" w:hAnsi="Calibri" w:eastAsia="Calibri"/>
          <w:b w:val="0"/>
          <w:i w:val="0"/>
          <w:color w:val="595959"/>
          <w:sz w:val="19"/>
        </w:rPr>
        <w:t>Engagement Reference: QA-BIDFORGE-001</w:t>
      </w:r>
      <w:r>
        <w:rPr>
          <w:rFonts w:ascii="Calibri" w:hAnsi="Calibri" w:eastAsia="Calibri"/>
          <w:b w:val="0"/>
          <w:i w:val="0"/>
          <w:color w:val="595959"/>
          <w:sz w:val="19"/>
        </w:rPr>
        <w:t xml:space="preserve">  |  </w:t>
      </w:r>
      <w:r>
        <w:rPr>
          <w:rFonts w:ascii="Calibri" w:hAnsi="Calibri" w:eastAsia="Calibri"/>
          <w:b w:val="0"/>
          <w:i w:val="0"/>
          <w:color w:val="595959"/>
          <w:sz w:val="19"/>
        </w:rPr>
        <w:t>Proposal Date: July 22, 2026</w:t>
      </w:r>
      <w:r>
        <w:rPr>
          <w:rFonts w:ascii="Calibri" w:hAnsi="Calibri" w:eastAsia="Calibri"/>
          <w:b w:val="0"/>
          <w:i w:val="0"/>
          <w:color w:val="595959"/>
          <w:sz w:val="19"/>
        </w:rPr>
        <w:t xml:space="preserve">  |  </w:t>
      </w:r>
      <w:r>
        <w:rPr>
          <w:rFonts w:ascii="Calibri" w:hAnsi="Calibri" w:eastAsia="Calibri"/>
          <w:b w:val="0"/>
          <w:i w:val="0"/>
          <w:color w:val="595959"/>
          <w:sz w:val="19"/>
        </w:rPr>
        <w:t>Validity: 90 days from proposal date unless otherwise stated in the solicitation</w:t>
      </w:r>
    </w:p>
    <w:p>
      <w:r>
        <w:br w:type="page"/>
      </w:r>
    </w:p>
    <w:p>
      <w:pPr>
        <w:spacing w:after="200"/>
      </w:pPr>
      <w:r>
        <w:rPr>
          <w:rFonts w:ascii="Calibri" w:hAnsi="Calibri" w:eastAsia="Calibri"/>
          <w:b/>
          <w:i w:val="0"/>
          <w:color w:val="2E74B5"/>
          <w:sz w:val="40"/>
        </w:rPr>
        <w:t>Proposal Contents</w:t>
      </w:r>
    </w:p>
    <w:tbl>
      <w:tblPr>
        <w:tblW w:type="auto" w:w="0"/>
        <w:jc w:val="left"/>
        <w:tblLayout w:type="fixed"/>
        <w:tblLook w:firstColumn="1" w:firstRow="1" w:lastColumn="0" w:lastRow="0" w:noHBand="0" w:noVBand="1" w:val="04A0"/>
      </w:tblPr>
      <w:tblGrid>
        <w:gridCol w:w="5040"/>
        <w:gridCol w:w="5040"/>
      </w:tblGrid>
      <w:tr>
        <w:tc>
          <w:tcPr>
            <w:tcW w:type="dxa" w:w="864"/>
          </w:tcPr>
          <w:p>
            <w:r>
              <w:rPr>
                <w:rFonts w:ascii="Calibri" w:hAnsi="Calibri" w:eastAsia="Calibri"/>
                <w:b/>
                <w:i w:val="0"/>
                <w:color w:val="2E74B5"/>
                <w:sz w:val="22"/>
              </w:rPr>
              <w:t>01</w:t>
            </w:r>
          </w:p>
        </w:tc>
        <w:tc>
          <w:tcPr>
            <w:tcW w:type="dxa" w:w="9936"/>
          </w:tcPr>
          <w:p>
            <w:r>
              <w:rPr>
                <w:rFonts w:ascii="Calibri" w:hAnsi="Calibri" w:eastAsia="Calibri"/>
                <w:b w:val="0"/>
                <w:i w:val="0"/>
                <w:sz w:val="22"/>
              </w:rPr>
              <w:t>Executive Summary</w:t>
            </w:r>
          </w:p>
        </w:tc>
      </w:tr>
      <w:tr>
        <w:tc>
          <w:tcPr>
            <w:tcW w:type="dxa" w:w="864"/>
          </w:tcPr>
          <w:p>
            <w:r>
              <w:rPr>
                <w:rFonts w:ascii="Calibri" w:hAnsi="Calibri" w:eastAsia="Calibri"/>
                <w:b/>
                <w:i w:val="0"/>
                <w:color w:val="2E74B5"/>
                <w:sz w:val="22"/>
              </w:rPr>
              <w:t>02</w:t>
            </w:r>
          </w:p>
        </w:tc>
        <w:tc>
          <w:tcPr>
            <w:tcW w:type="dxa" w:w="9936"/>
          </w:tcPr>
          <w:p>
            <w:r>
              <w:rPr>
                <w:rFonts w:ascii="Calibri" w:hAnsi="Calibri" w:eastAsia="Calibri"/>
                <w:b w:val="0"/>
                <w:i w:val="0"/>
                <w:sz w:val="22"/>
              </w:rPr>
              <w:t>Understanding of Requirements</w:t>
            </w:r>
          </w:p>
        </w:tc>
      </w:tr>
      <w:tr>
        <w:tc>
          <w:tcPr>
            <w:tcW w:type="dxa" w:w="864"/>
          </w:tcPr>
          <w:p>
            <w:r>
              <w:rPr>
                <w:rFonts w:ascii="Calibri" w:hAnsi="Calibri" w:eastAsia="Calibri"/>
                <w:b/>
                <w:i w:val="0"/>
                <w:color w:val="2E74B5"/>
                <w:sz w:val="22"/>
              </w:rPr>
              <w:t>03</w:t>
            </w:r>
          </w:p>
        </w:tc>
        <w:tc>
          <w:tcPr>
            <w:tcW w:type="dxa" w:w="9936"/>
          </w:tcPr>
          <w:p>
            <w:r>
              <w:rPr>
                <w:rFonts w:ascii="Calibri" w:hAnsi="Calibri" w:eastAsia="Calibri"/>
                <w:b w:val="0"/>
                <w:i w:val="0"/>
                <w:sz w:val="22"/>
              </w:rPr>
              <w:t>Scope of Work</w:t>
            </w:r>
          </w:p>
        </w:tc>
      </w:tr>
      <w:tr>
        <w:tc>
          <w:tcPr>
            <w:tcW w:type="dxa" w:w="864"/>
          </w:tcPr>
          <w:p>
            <w:r>
              <w:rPr>
                <w:rFonts w:ascii="Calibri" w:hAnsi="Calibri" w:eastAsia="Calibri"/>
                <w:b/>
                <w:i w:val="0"/>
                <w:color w:val="2E74B5"/>
                <w:sz w:val="22"/>
              </w:rPr>
              <w:t>04</w:t>
            </w:r>
          </w:p>
        </w:tc>
        <w:tc>
          <w:tcPr>
            <w:tcW w:type="dxa" w:w="9936"/>
          </w:tcPr>
          <w:p>
            <w:r>
              <w:rPr>
                <w:rFonts w:ascii="Calibri" w:hAnsi="Calibri" w:eastAsia="Calibri"/>
                <w:b w:val="0"/>
                <w:i w:val="0"/>
                <w:sz w:val="22"/>
              </w:rPr>
              <w:t>Pricing Strategy</w:t>
            </w:r>
          </w:p>
        </w:tc>
      </w:tr>
      <w:tr>
        <w:tc>
          <w:tcPr>
            <w:tcW w:type="dxa" w:w="864"/>
          </w:tcPr>
          <w:p>
            <w:r>
              <w:rPr>
                <w:rFonts w:ascii="Calibri" w:hAnsi="Calibri" w:eastAsia="Calibri"/>
                <w:b/>
                <w:i w:val="0"/>
                <w:color w:val="2E74B5"/>
                <w:sz w:val="22"/>
              </w:rPr>
              <w:t>05</w:t>
            </w:r>
          </w:p>
        </w:tc>
        <w:tc>
          <w:tcPr>
            <w:tcW w:type="dxa" w:w="9936"/>
          </w:tcPr>
          <w:p>
            <w:r>
              <w:rPr>
                <w:rFonts w:ascii="Calibri" w:hAnsi="Calibri" w:eastAsia="Calibri"/>
                <w:b w:val="0"/>
                <w:i w:val="0"/>
                <w:sz w:val="22"/>
              </w:rPr>
              <w:t>Competitive Positioning</w:t>
            </w:r>
          </w:p>
        </w:tc>
      </w:tr>
      <w:tr>
        <w:tc>
          <w:tcPr>
            <w:tcW w:type="dxa" w:w="864"/>
          </w:tcPr>
          <w:p>
            <w:r>
              <w:rPr>
                <w:rFonts w:ascii="Calibri" w:hAnsi="Calibri" w:eastAsia="Calibri"/>
                <w:b/>
                <w:i w:val="0"/>
                <w:color w:val="2E74B5"/>
                <w:sz w:val="22"/>
              </w:rPr>
              <w:t>06</w:t>
            </w:r>
          </w:p>
        </w:tc>
        <w:tc>
          <w:tcPr>
            <w:tcW w:type="dxa" w:w="9936"/>
          </w:tcPr>
          <w:p>
            <w:r>
              <w:rPr>
                <w:rFonts w:ascii="Calibri" w:hAnsi="Calibri" w:eastAsia="Calibri"/>
                <w:b w:val="0"/>
                <w:i w:val="0"/>
                <w:sz w:val="22"/>
              </w:rPr>
              <w:t>Implementation Timeline</w:t>
            </w:r>
          </w:p>
        </w:tc>
      </w:tr>
      <w:tr>
        <w:tc>
          <w:tcPr>
            <w:tcW w:type="dxa" w:w="864"/>
          </w:tcPr>
          <w:p>
            <w:r>
              <w:rPr>
                <w:rFonts w:ascii="Calibri" w:hAnsi="Calibri" w:eastAsia="Calibri"/>
                <w:b/>
                <w:i w:val="0"/>
                <w:color w:val="2E74B5"/>
                <w:sz w:val="22"/>
              </w:rPr>
              <w:t>07</w:t>
            </w:r>
          </w:p>
        </w:tc>
        <w:tc>
          <w:tcPr>
            <w:tcW w:type="dxa" w:w="9936"/>
          </w:tcPr>
          <w:p>
            <w:r>
              <w:rPr>
                <w:rFonts w:ascii="Calibri" w:hAnsi="Calibri" w:eastAsia="Calibri"/>
                <w:b w:val="0"/>
                <w:i w:val="0"/>
                <w:sz w:val="22"/>
              </w:rPr>
              <w:t>Terms, Compliance, and Next Steps</w:t>
            </w:r>
          </w:p>
        </w:tc>
      </w:tr>
    </w:tbl>
    <w:p>
      <w:pPr>
        <w:spacing w:after="200"/>
      </w:pPr>
    </w:p>
    <w:tbl>
      <w:tblPr>
        <w:tblW w:type="auto" w:w="0"/>
        <w:jc w:val="center"/>
        <w:tblLayout w:type="fixed"/>
        <w:tblLook w:firstColumn="1" w:firstRow="1" w:lastColumn="0" w:lastRow="0" w:noHBand="0" w:noVBand="1" w:val="04A0"/>
      </w:tblPr>
      <w:tblGrid>
        <w:gridCol w:w="5040"/>
        <w:gridCol w:w="5040"/>
      </w:tblGrid>
      <w:tr>
        <w:tc>
          <w:tcPr>
            <w:tcW w:type="dxa" w:w="5400"/>
            <w:shd w:val="clear" w:color="auto" w:fill="F2F2F2"/>
          </w:tcPr>
          <w:p>
            <w:r/>
            <w:r>
              <w:rPr>
                <w:rFonts w:ascii="Calibri" w:hAnsi="Calibri" w:eastAsia="Calibri"/>
                <w:b/>
                <w:i w:val="0"/>
                <w:sz w:val="20"/>
              </w:rPr>
              <w:t>Contact</w:t>
            </w:r>
          </w:p>
          <w:p>
            <w:r>
              <w:rPr>
                <w:rFonts w:ascii="Calibri" w:hAnsi="Calibri" w:eastAsia="Calibri"/>
                <w:b w:val="0"/>
                <w:i w:val="0"/>
                <w:sz w:val="20"/>
              </w:rPr>
              <w:t>13352 Kettle Camp Rd</w:t>
            </w:r>
          </w:p>
          <w:p>
            <w:r>
              <w:rPr>
                <w:rFonts w:ascii="Calibri" w:hAnsi="Calibri" w:eastAsia="Calibri"/>
                <w:b w:val="0"/>
                <w:i w:val="0"/>
                <w:sz w:val="20"/>
              </w:rPr>
              <w:t>Frisco, Texas 75035</w:t>
            </w:r>
          </w:p>
        </w:tc>
        <w:tc>
          <w:tcPr>
            <w:tcW w:type="dxa" w:w="5400"/>
            <w:shd w:val="clear" w:color="auto" w:fill="F2F2F2"/>
          </w:tcPr>
          <w:p>
            <w:pPr>
              <w:jc w:val="right"/>
            </w:pPr>
            <w:r/>
            <w:r>
              <w:rPr>
                <w:rFonts w:ascii="Calibri" w:hAnsi="Calibri" w:eastAsia="Calibri"/>
                <w:b w:val="0"/>
                <w:i w:val="0"/>
                <w:sz w:val="20"/>
              </w:rPr>
              <w:t>Phone: +917021950643</w:t>
            </w:r>
          </w:p>
          <w:p>
            <w:pPr>
              <w:jc w:val="right"/>
            </w:pPr>
            <w:r>
              <w:rPr>
                <w:rFonts w:ascii="Calibri" w:hAnsi="Calibri" w:eastAsia="Calibri"/>
                <w:b w:val="0"/>
                <w:i w:val="0"/>
                <w:sz w:val="20"/>
              </w:rPr>
              <w:t>www.orbitavanyatech.com</w:t>
            </w:r>
          </w:p>
        </w:tc>
      </w:tr>
      <w:tr>
        <w:tc>
          <w:tcPr>
            <w:tcW w:type="dxa" w:w="5400"/>
            <w:gridSpan w:val="2"/>
            <w:shd w:val="clear" w:color="auto" w:fill="D9D9D9"/>
          </w:tcPr>
          <w:p>
            <w:pPr>
              <w:spacing w:after="120"/>
            </w:pPr>
            <w:r/>
            <w:r>
              <w:rPr>
                <w:rFonts w:ascii="Calibri" w:hAnsi="Calibri" w:eastAsia="Calibri"/>
                <w:b w:val="0"/>
                <w:i w:val="0"/>
                <w:color w:val="595959"/>
                <w:sz w:val="17"/>
              </w:rPr>
              <w:t>This document contains proprietary and confidential information of OrbitAvanya Tech LLP and the recipient organization. It is submitted for the sole purpose of evaluating a potential business arrangement or technical contract engagement. No portion of this document may be reproduced, stored in a retrieval system, or transmitted in any form or by any means without prior written authorization from OrbitAvanya Tech LLP.</w:t>
            </w:r>
          </w:p>
        </w:tc>
      </w:tr>
    </w:tbl>
    <w:p>
      <w:r>
        <w:br w:type="page"/>
      </w:r>
    </w:p>
    <w:p>
      <w:pPr>
        <w:pStyle w:val="Heading1"/>
        <w:keepNext/>
        <w:spacing w:before="80" w:after="200"/>
        <w:pBdr>
          <w:bottom w:val="single" w:sz="10" w:space="4" w:color="2E74B5"/>
        </w:pBdr>
      </w:pPr>
      <w:r>
        <w:rPr>
          <w:rFonts w:ascii="Calibri" w:hAnsi="Calibri" w:eastAsia="Calibri"/>
          <w:b/>
          <w:i w:val="0"/>
          <w:color w:val="2E74B5"/>
          <w:sz w:val="34"/>
        </w:rPr>
        <w:t>1.0 Executive Summary</w:t>
      </w:r>
    </w:p>
    <w:p>
      <w:pPr>
        <w:spacing w:after="160"/>
        <w:jc w:val="both"/>
      </w:pPr>
      <w:r>
        <w:rPr>
          <w:rFonts w:ascii="Calibri" w:hAnsi="Calibri" w:eastAsia="Calibri"/>
          <w:b w:val="0"/>
          <w:i w:val="0"/>
          <w:sz w:val="22"/>
        </w:rPr>
        <w:t>We are pleased to submit this response for Sample Evaluation Agency. The buyer is requesting secure document automation, proposal response drafting, and post-deployment support services. Our response is structured around the exact requirements extracted from the uploaded RFP, the offerings available in our company inventory, and the pricing strategy selected during analysis.</w:t>
      </w:r>
    </w:p>
    <w:p>
      <w:pPr>
        <w:spacing w:after="160"/>
        <w:jc w:val="both"/>
      </w:pPr>
      <w:r>
        <w:rPr>
          <w:rFonts w:ascii="Calibri" w:hAnsi="Calibri" w:eastAsia="Calibri"/>
          <w:b w:val="0"/>
          <w:i w:val="0"/>
          <w:sz w:val="22"/>
        </w:rPr>
        <w:t>The proposal emphasizes a practical delivery approach, clear scope ownership, transparent pricing assumptions, and compliance commitments so the evaluation team can quickly understand what is included and where any open items require clarification.</w:t>
      </w:r>
    </w:p>
    <w:p>
      <w:r>
        <w:br w:type="page"/>
      </w:r>
    </w:p>
    <w:p>
      <w:pPr>
        <w:pStyle w:val="Heading1"/>
        <w:keepNext/>
        <w:spacing w:before="80" w:after="200"/>
        <w:pBdr>
          <w:bottom w:val="single" w:sz="10" w:space="4" w:color="2E74B5"/>
        </w:pBdr>
      </w:pPr>
      <w:r>
        <w:rPr>
          <w:rFonts w:ascii="Calibri" w:hAnsi="Calibri" w:eastAsia="Calibri"/>
          <w:b/>
          <w:i w:val="0"/>
          <w:color w:val="2E74B5"/>
          <w:sz w:val="34"/>
        </w:rPr>
        <w:t>2.0 Understanding of Requirements</w:t>
      </w:r>
    </w:p>
    <w:p>
      <w:pPr>
        <w:spacing w:before="40" w:after="40"/>
      </w:pP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2448"/>
            <w:shd w:val="clear" w:color="auto" w:fill="2E74B5"/>
          </w:tcPr>
          <w:p>
            <w:r/>
            <w:r>
              <w:rPr>
                <w:rFonts w:ascii="Calibri" w:hAnsi="Calibri" w:eastAsia="Calibri"/>
                <w:b/>
                <w:i w:val="0"/>
                <w:color w:val="FFFFFF"/>
                <w:sz w:val="21"/>
              </w:rPr>
              <w:t>Requirement</w:t>
            </w:r>
          </w:p>
        </w:tc>
        <w:tc>
          <w:tcPr>
            <w:tcW w:type="dxa" w:w="4896"/>
            <w:shd w:val="clear" w:color="auto" w:fill="2E74B5"/>
          </w:tcPr>
          <w:p>
            <w:r/>
            <w:r>
              <w:rPr>
                <w:rFonts w:ascii="Calibri" w:hAnsi="Calibri" w:eastAsia="Calibri"/>
                <w:b/>
                <w:i w:val="0"/>
                <w:color w:val="FFFFFF"/>
                <w:sz w:val="21"/>
              </w:rPr>
              <w:t>Description</w:t>
            </w:r>
          </w:p>
        </w:tc>
        <w:tc>
          <w:tcPr>
            <w:tcW w:type="dxa" w:w="1584"/>
            <w:shd w:val="clear" w:color="auto" w:fill="2E74B5"/>
          </w:tcPr>
          <w:p>
            <w:r/>
            <w:r>
              <w:rPr>
                <w:rFonts w:ascii="Calibri" w:hAnsi="Calibri" w:eastAsia="Calibri"/>
                <w:b/>
                <w:i w:val="0"/>
                <w:color w:val="FFFFFF"/>
                <w:sz w:val="21"/>
              </w:rPr>
              <w:t>Quantity</w:t>
            </w:r>
          </w:p>
        </w:tc>
        <w:tc>
          <w:tcPr>
            <w:tcW w:type="dxa" w:w="1872"/>
            <w:shd w:val="clear" w:color="auto" w:fill="2E74B5"/>
          </w:tcPr>
          <w:p>
            <w:r/>
            <w:r>
              <w:rPr>
                <w:rFonts w:ascii="Calibri" w:hAnsi="Calibri" w:eastAsia="Calibri"/>
                <w:b/>
                <w:i w:val="0"/>
                <w:color w:val="FFFFFF"/>
                <w:sz w:val="21"/>
              </w:rPr>
              <w:t>Timeline</w:t>
            </w:r>
          </w:p>
        </w:tc>
      </w:tr>
      <w:tr>
        <w:tc>
          <w:tcPr>
            <w:tcW w:type="dxa" w:w="2448"/>
          </w:tcPr>
          <w:p>
            <w:r/>
            <w:r>
              <w:rPr>
                <w:rFonts w:ascii="Calibri" w:hAnsi="Calibri" w:eastAsia="Calibri"/>
                <w:b w:val="0"/>
                <w:i w:val="0"/>
                <w:sz w:val="20"/>
              </w:rPr>
              <w:t>Document intake workflow</w:t>
            </w:r>
          </w:p>
        </w:tc>
        <w:tc>
          <w:tcPr>
            <w:tcW w:type="dxa" w:w="4896"/>
          </w:tcPr>
          <w:p>
            <w:r/>
            <w:r>
              <w:rPr>
                <w:rFonts w:ascii="Calibri" w:hAnsi="Calibri" w:eastAsia="Calibri"/>
                <w:b w:val="0"/>
                <w:i w:val="0"/>
                <w:sz w:val="20"/>
              </w:rPr>
              <w:t>Receive and parse RFP documents in PDF, DOCX, and text formats.</w:t>
            </w:r>
          </w:p>
        </w:tc>
        <w:tc>
          <w:tcPr>
            <w:tcW w:type="dxa" w:w="1584"/>
          </w:tcPr>
          <w:p>
            <w:r/>
            <w:r>
              <w:rPr>
                <w:rFonts w:ascii="Calibri" w:hAnsi="Calibri" w:eastAsia="Calibri"/>
                <w:b w:val="0"/>
                <w:i w:val="0"/>
                <w:sz w:val="20"/>
              </w:rPr>
              <w:t>1 workflow</w:t>
            </w:r>
          </w:p>
        </w:tc>
        <w:tc>
          <w:tcPr>
            <w:tcW w:type="dxa" w:w="1872"/>
          </w:tcPr>
          <w:p>
            <w:r/>
            <w:r>
              <w:rPr>
                <w:rFonts w:ascii="Calibri" w:hAnsi="Calibri" w:eastAsia="Calibri"/>
                <w:b w:val="0"/>
                <w:i w:val="0"/>
                <w:sz w:val="20"/>
              </w:rPr>
              <w:t>30 days</w:t>
            </w:r>
          </w:p>
        </w:tc>
      </w:tr>
      <w:tr>
        <w:tc>
          <w:tcPr>
            <w:tcW w:type="dxa" w:w="2448"/>
            <w:shd w:val="clear" w:color="auto" w:fill="F9F9F9"/>
          </w:tcPr>
          <w:p>
            <w:r/>
            <w:r>
              <w:rPr>
                <w:rFonts w:ascii="Calibri" w:hAnsi="Calibri" w:eastAsia="Calibri"/>
                <w:b w:val="0"/>
                <w:i w:val="0"/>
                <w:sz w:val="20"/>
              </w:rPr>
              <w:t>Template-based proposal generation</w:t>
            </w:r>
          </w:p>
        </w:tc>
        <w:tc>
          <w:tcPr>
            <w:tcW w:type="dxa" w:w="4896"/>
            <w:shd w:val="clear" w:color="auto" w:fill="F9F9F9"/>
          </w:tcPr>
          <w:p>
            <w:r/>
            <w:r>
              <w:rPr>
                <w:rFonts w:ascii="Calibri" w:hAnsi="Calibri" w:eastAsia="Calibri"/>
                <w:b w:val="0"/>
                <w:i w:val="0"/>
                <w:sz w:val="20"/>
              </w:rPr>
              <w:t>Generate editable proposal documents using the buyer or company template.</w:t>
            </w:r>
          </w:p>
        </w:tc>
        <w:tc>
          <w:tcPr>
            <w:tcW w:type="dxa" w:w="1584"/>
            <w:shd w:val="clear" w:color="auto" w:fill="F9F9F9"/>
          </w:tcPr>
          <w:p>
            <w:r/>
            <w:r>
              <w:rPr>
                <w:rFonts w:ascii="Calibri" w:hAnsi="Calibri" w:eastAsia="Calibri"/>
                <w:b w:val="0"/>
                <w:i w:val="0"/>
                <w:sz w:val="20"/>
              </w:rPr>
              <w:t>Unlimited drafts</w:t>
            </w:r>
          </w:p>
        </w:tc>
        <w:tc>
          <w:tcPr>
            <w:tcW w:type="dxa" w:w="1872"/>
            <w:shd w:val="clear" w:color="auto" w:fill="F9F9F9"/>
          </w:tcPr>
          <w:p>
            <w:r/>
            <w:r>
              <w:rPr>
                <w:rFonts w:ascii="Calibri" w:hAnsi="Calibri" w:eastAsia="Calibri"/>
                <w:b w:val="0"/>
                <w:i w:val="0"/>
                <w:sz w:val="20"/>
              </w:rPr>
              <w:t>Ongoing</w:t>
            </w:r>
          </w:p>
        </w:tc>
      </w:tr>
      <w:tr>
        <w:tc>
          <w:tcPr>
            <w:tcW w:type="dxa" w:w="2448"/>
          </w:tcPr>
          <w:p>
            <w:r/>
            <w:r>
              <w:rPr>
                <w:rFonts w:ascii="Calibri" w:hAnsi="Calibri" w:eastAsia="Calibri"/>
                <w:b w:val="0"/>
                <w:i w:val="0"/>
                <w:sz w:val="20"/>
              </w:rPr>
              <w:t>Support and reporting</w:t>
            </w:r>
          </w:p>
        </w:tc>
        <w:tc>
          <w:tcPr>
            <w:tcW w:type="dxa" w:w="4896"/>
          </w:tcPr>
          <w:p>
            <w:r/>
            <w:r>
              <w:rPr>
                <w:rFonts w:ascii="Calibri" w:hAnsi="Calibri" w:eastAsia="Calibri"/>
                <w:b w:val="0"/>
                <w:i w:val="0"/>
                <w:sz w:val="20"/>
              </w:rPr>
              <w:t>Provide issue tracking, delivery status, and post-deployment support.</w:t>
            </w:r>
          </w:p>
        </w:tc>
        <w:tc>
          <w:tcPr>
            <w:tcW w:type="dxa" w:w="1584"/>
          </w:tcPr>
          <w:p>
            <w:r/>
            <w:r>
              <w:rPr>
                <w:rFonts w:ascii="Calibri" w:hAnsi="Calibri" w:eastAsia="Calibri"/>
                <w:b w:val="0"/>
                <w:i w:val="0"/>
                <w:sz w:val="20"/>
              </w:rPr>
              <w:t>Monthly</w:t>
            </w:r>
          </w:p>
        </w:tc>
        <w:tc>
          <w:tcPr>
            <w:tcW w:type="dxa" w:w="1872"/>
          </w:tcPr>
          <w:p>
            <w:r/>
            <w:r>
              <w:rPr>
                <w:rFonts w:ascii="Calibri" w:hAnsi="Calibri" w:eastAsia="Calibri"/>
                <w:b w:val="0"/>
                <w:i w:val="0"/>
                <w:sz w:val="20"/>
              </w:rPr>
              <w:t>Base period</w:t>
            </w:r>
          </w:p>
        </w:tc>
      </w:tr>
    </w:tbl>
    <w:p>
      <w:pPr>
        <w:spacing w:after="120"/>
      </w:pPr>
    </w:p>
    <w:p>
      <w:pPr>
        <w:keepNext/>
        <w:spacing w:before="200" w:after="80"/>
      </w:pPr>
      <w:r>
        <w:rPr>
          <w:rFonts w:ascii="Calibri" w:hAnsi="Calibri" w:eastAsia="Calibri"/>
          <w:b/>
          <w:i w:val="0"/>
          <w:sz w:val="25"/>
        </w:rPr>
        <w:t>Clarifications Required</w:t>
      </w:r>
    </w:p>
    <w:p>
      <w:pPr>
        <w:pStyle w:val="ListBullet"/>
        <w:spacing w:after="80"/>
      </w:pPr>
      <w:r>
        <w:rPr>
          <w:rFonts w:ascii="Calibri" w:hAnsi="Calibri" w:eastAsia="Calibri"/>
          <w:b w:val="0"/>
          <w:i w:val="0"/>
          <w:sz w:val="22"/>
        </w:rPr>
        <w:t>Final submission volume is not specified</w:t>
      </w:r>
    </w:p>
    <w:p>
      <w:pPr>
        <w:pStyle w:val="ListBullet"/>
        <w:spacing w:after="80"/>
      </w:pPr>
      <w:r>
        <w:rPr>
          <w:rFonts w:ascii="Calibri" w:hAnsi="Calibri" w:eastAsia="Calibri"/>
          <w:b w:val="0"/>
          <w:i w:val="0"/>
          <w:sz w:val="22"/>
        </w:rPr>
        <w:t>Required SLA response windows are not specified</w:t>
      </w:r>
    </w:p>
    <w:p>
      <w:r>
        <w:br w:type="page"/>
      </w:r>
    </w:p>
    <w:p>
      <w:pPr>
        <w:pStyle w:val="Heading1"/>
        <w:keepNext/>
        <w:spacing w:before="80" w:after="200"/>
        <w:pBdr>
          <w:bottom w:val="single" w:sz="10" w:space="4" w:color="2E74B5"/>
        </w:pBdr>
      </w:pPr>
      <w:r>
        <w:rPr>
          <w:rFonts w:ascii="Calibri" w:hAnsi="Calibri" w:eastAsia="Calibri"/>
          <w:b/>
          <w:i w:val="0"/>
          <w:color w:val="2E74B5"/>
          <w:sz w:val="34"/>
        </w:rPr>
        <w:t>3.0 Scope of Work</w:t>
      </w:r>
    </w:p>
    <w:p>
      <w:pPr>
        <w:spacing w:after="160"/>
        <w:jc w:val="both"/>
      </w:pPr>
      <w:r>
        <w:rPr>
          <w:rFonts w:ascii="Calibri" w:hAnsi="Calibri" w:eastAsia="Calibri"/>
          <w:b w:val="0"/>
          <w:i w:val="0"/>
          <w:sz w:val="22"/>
        </w:rPr>
        <w:t>The scope below maps the extracted customer requirements to our available inventory and delivery capabilities. Items marked partial or unavailable should be reviewed before final submission so the commercial response stays accurate.</w:t>
      </w:r>
    </w:p>
    <w:p>
      <w:pPr>
        <w:spacing w:before="40" w:after="40"/>
      </w:pP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2880"/>
            <w:shd w:val="clear" w:color="auto" w:fill="2E74B5"/>
          </w:tcPr>
          <w:p>
            <w:r/>
            <w:r>
              <w:rPr>
                <w:rFonts w:ascii="Calibri" w:hAnsi="Calibri" w:eastAsia="Calibri"/>
                <w:b/>
                <w:i w:val="0"/>
                <w:color w:val="FFFFFF"/>
                <w:sz w:val="21"/>
              </w:rPr>
              <w:t>Scope Item</w:t>
            </w:r>
          </w:p>
        </w:tc>
        <w:tc>
          <w:tcPr>
            <w:tcW w:type="dxa" w:w="1296"/>
            <w:shd w:val="clear" w:color="auto" w:fill="2E74B5"/>
          </w:tcPr>
          <w:p>
            <w:r/>
            <w:r>
              <w:rPr>
                <w:rFonts w:ascii="Calibri" w:hAnsi="Calibri" w:eastAsia="Calibri"/>
                <w:b/>
                <w:i w:val="0"/>
                <w:color w:val="FFFFFF"/>
                <w:sz w:val="21"/>
              </w:rPr>
              <w:t>Fit</w:t>
            </w:r>
          </w:p>
        </w:tc>
        <w:tc>
          <w:tcPr>
            <w:tcW w:type="dxa" w:w="2016"/>
            <w:shd w:val="clear" w:color="auto" w:fill="2E74B5"/>
          </w:tcPr>
          <w:p>
            <w:r/>
            <w:r>
              <w:rPr>
                <w:rFonts w:ascii="Calibri" w:hAnsi="Calibri" w:eastAsia="Calibri"/>
                <w:b/>
                <w:i w:val="0"/>
                <w:color w:val="FFFFFF"/>
                <w:sz w:val="21"/>
              </w:rPr>
              <w:t>Availability</w:t>
            </w:r>
          </w:p>
        </w:tc>
        <w:tc>
          <w:tcPr>
            <w:tcW w:type="dxa" w:w="4608"/>
            <w:shd w:val="clear" w:color="auto" w:fill="2E74B5"/>
          </w:tcPr>
          <w:p>
            <w:r/>
            <w:r>
              <w:rPr>
                <w:rFonts w:ascii="Calibri" w:hAnsi="Calibri" w:eastAsia="Calibri"/>
                <w:b/>
                <w:i w:val="0"/>
                <w:color w:val="FFFFFF"/>
                <w:sz w:val="21"/>
              </w:rPr>
              <w:t>Notes</w:t>
            </w:r>
          </w:p>
        </w:tc>
      </w:tr>
      <w:tr>
        <w:tc>
          <w:tcPr>
            <w:tcW w:type="dxa" w:w="2880"/>
          </w:tcPr>
          <w:p>
            <w:r/>
            <w:r>
              <w:rPr>
                <w:rFonts w:ascii="Calibri" w:hAnsi="Calibri" w:eastAsia="Calibri"/>
                <w:b w:val="0"/>
                <w:i w:val="0"/>
                <w:sz w:val="20"/>
              </w:rPr>
              <w:t>Document intake workflow</w:t>
            </w:r>
          </w:p>
        </w:tc>
        <w:tc>
          <w:tcPr>
            <w:tcW w:type="dxa" w:w="1296"/>
          </w:tcPr>
          <w:p>
            <w:r/>
            <w:r>
              <w:rPr>
                <w:rFonts w:ascii="Calibri" w:hAnsi="Calibri" w:eastAsia="Calibri"/>
                <w:b w:val="0"/>
                <w:i w:val="0"/>
                <w:sz w:val="20"/>
              </w:rPr>
              <w:t>YES</w:t>
            </w:r>
          </w:p>
        </w:tc>
        <w:tc>
          <w:tcPr>
            <w:tcW w:type="dxa" w:w="2016"/>
          </w:tcPr>
          <w:p>
            <w:r/>
            <w:r>
              <w:rPr>
                <w:rFonts w:ascii="Calibri" w:hAnsi="Calibri" w:eastAsia="Calibri"/>
                <w:b w:val="0"/>
                <w:i w:val="0"/>
                <w:sz w:val="20"/>
              </w:rPr>
              <w:t>Available</w:t>
            </w:r>
          </w:p>
        </w:tc>
        <w:tc>
          <w:tcPr>
            <w:tcW w:type="dxa" w:w="4608"/>
          </w:tcPr>
          <w:p>
            <w:r/>
            <w:r>
              <w:rPr>
                <w:rFonts w:ascii="Calibri" w:hAnsi="Calibri" w:eastAsia="Calibri"/>
                <w:b w:val="0"/>
                <w:i w:val="0"/>
                <w:sz w:val="20"/>
              </w:rPr>
              <w:t>Matched to OrbitAvanya document automation and OCR pipeline capabilities.</w:t>
            </w:r>
          </w:p>
        </w:tc>
      </w:tr>
      <w:tr>
        <w:tc>
          <w:tcPr>
            <w:tcW w:type="dxa" w:w="2880"/>
            <w:shd w:val="clear" w:color="auto" w:fill="F9F9F9"/>
          </w:tcPr>
          <w:p>
            <w:r/>
            <w:r>
              <w:rPr>
                <w:rFonts w:ascii="Calibri" w:hAnsi="Calibri" w:eastAsia="Calibri"/>
                <w:b w:val="0"/>
                <w:i w:val="0"/>
                <w:sz w:val="20"/>
              </w:rPr>
              <w:t>Template-based proposal generation</w:t>
            </w:r>
          </w:p>
        </w:tc>
        <w:tc>
          <w:tcPr>
            <w:tcW w:type="dxa" w:w="1296"/>
            <w:shd w:val="clear" w:color="auto" w:fill="F9F9F9"/>
          </w:tcPr>
          <w:p>
            <w:r/>
            <w:r>
              <w:rPr>
                <w:rFonts w:ascii="Calibri" w:hAnsi="Calibri" w:eastAsia="Calibri"/>
                <w:b w:val="0"/>
                <w:i w:val="0"/>
                <w:sz w:val="20"/>
              </w:rPr>
              <w:t>YES</w:t>
            </w:r>
          </w:p>
        </w:tc>
        <w:tc>
          <w:tcPr>
            <w:tcW w:type="dxa" w:w="2016"/>
            <w:shd w:val="clear" w:color="auto" w:fill="F9F9F9"/>
          </w:tcPr>
          <w:p>
            <w:r/>
            <w:r>
              <w:rPr>
                <w:rFonts w:ascii="Calibri" w:hAnsi="Calibri" w:eastAsia="Calibri"/>
                <w:b w:val="0"/>
                <w:i w:val="0"/>
                <w:sz w:val="20"/>
              </w:rPr>
              <w:t>Available</w:t>
            </w:r>
          </w:p>
        </w:tc>
        <w:tc>
          <w:tcPr>
            <w:tcW w:type="dxa" w:w="4608"/>
            <w:shd w:val="clear" w:color="auto" w:fill="F9F9F9"/>
          </w:tcPr>
          <w:p>
            <w:r/>
            <w:r>
              <w:rPr>
                <w:rFonts w:ascii="Calibri" w:hAnsi="Calibri" w:eastAsia="Calibri"/>
                <w:b w:val="0"/>
                <w:i w:val="0"/>
                <w:sz w:val="20"/>
              </w:rPr>
              <w:t>Matched to DOCX generation and template brand extraction workflow.</w:t>
            </w:r>
          </w:p>
        </w:tc>
      </w:tr>
      <w:tr>
        <w:tc>
          <w:tcPr>
            <w:tcW w:type="dxa" w:w="2880"/>
          </w:tcPr>
          <w:p>
            <w:r/>
            <w:r>
              <w:rPr>
                <w:rFonts w:ascii="Calibri" w:hAnsi="Calibri" w:eastAsia="Calibri"/>
                <w:b w:val="0"/>
                <w:i w:val="0"/>
                <w:sz w:val="20"/>
              </w:rPr>
              <w:t>Support and reporting</w:t>
            </w:r>
          </w:p>
        </w:tc>
        <w:tc>
          <w:tcPr>
            <w:tcW w:type="dxa" w:w="1296"/>
          </w:tcPr>
          <w:p>
            <w:r/>
            <w:r>
              <w:rPr>
                <w:rFonts w:ascii="Calibri" w:hAnsi="Calibri" w:eastAsia="Calibri"/>
                <w:b w:val="0"/>
                <w:i w:val="0"/>
                <w:sz w:val="20"/>
              </w:rPr>
              <w:t>PARTIAL</w:t>
            </w:r>
          </w:p>
        </w:tc>
        <w:tc>
          <w:tcPr>
            <w:tcW w:type="dxa" w:w="2016"/>
          </w:tcPr>
          <w:p>
            <w:r/>
            <w:r>
              <w:rPr>
                <w:rFonts w:ascii="Calibri" w:hAnsi="Calibri" w:eastAsia="Calibri"/>
                <w:b w:val="0"/>
                <w:i w:val="0"/>
                <w:sz w:val="20"/>
              </w:rPr>
              <w:t>Available with final SLA confirmation</w:t>
            </w:r>
          </w:p>
        </w:tc>
        <w:tc>
          <w:tcPr>
            <w:tcW w:type="dxa" w:w="4608"/>
          </w:tcPr>
          <w:p>
            <w:r/>
            <w:r>
              <w:rPr>
                <w:rFonts w:ascii="Calibri" w:hAnsi="Calibri" w:eastAsia="Calibri"/>
                <w:b w:val="0"/>
                <w:i w:val="0"/>
                <w:sz w:val="20"/>
              </w:rPr>
              <w:t>Support cadence should be confirmed during kickoff.</w:t>
            </w:r>
          </w:p>
        </w:tc>
      </w:tr>
    </w:tbl>
    <w:p>
      <w:pPr>
        <w:spacing w:after="120"/>
      </w:pPr>
    </w:p>
    <w:p>
      <w:r>
        <w:br w:type="page"/>
      </w:r>
    </w:p>
    <w:p>
      <w:pPr>
        <w:pStyle w:val="Heading1"/>
        <w:keepNext/>
        <w:spacing w:before="80" w:after="200"/>
        <w:pBdr>
          <w:bottom w:val="single" w:sz="10" w:space="4" w:color="2E74B5"/>
        </w:pBdr>
      </w:pPr>
      <w:r>
        <w:rPr>
          <w:rFonts w:ascii="Calibri" w:hAnsi="Calibri" w:eastAsia="Calibri"/>
          <w:b/>
          <w:i w:val="0"/>
          <w:color w:val="2E74B5"/>
          <w:sz w:val="34"/>
        </w:rPr>
        <w:t>4.0 Pricing Strategy</w:t>
      </w:r>
    </w:p>
    <w:p>
      <w:pPr>
        <w:spacing w:after="160"/>
        <w:jc w:val="both"/>
      </w:pPr>
      <w:r>
        <w:rPr>
          <w:rFonts w:ascii="Calibri" w:hAnsi="Calibri" w:eastAsia="Calibri"/>
          <w:b w:val="0"/>
          <w:i w:val="0"/>
          <w:sz w:val="22"/>
        </w:rPr>
        <w:t>Pricing is based on the available inventory records and market-intelligence snippets. Where source data is missing, the proposal preserves that uncertainty instead of inventing figures.</w:t>
      </w:r>
    </w:p>
    <w:p>
      <w:pPr>
        <w:spacing w:before="40" w:after="40"/>
      </w:pP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2448"/>
            <w:shd w:val="clear" w:color="auto" w:fill="2E74B5"/>
          </w:tcPr>
          <w:p>
            <w:r/>
            <w:r>
              <w:rPr>
                <w:rFonts w:ascii="Calibri" w:hAnsi="Calibri" w:eastAsia="Calibri"/>
                <w:b/>
                <w:i w:val="0"/>
                <w:color w:val="FFFFFF"/>
                <w:sz w:val="21"/>
              </w:rPr>
              <w:t>Item</w:t>
            </w:r>
          </w:p>
        </w:tc>
        <w:tc>
          <w:tcPr>
            <w:tcW w:type="dxa" w:w="2016"/>
            <w:shd w:val="clear" w:color="auto" w:fill="2E74B5"/>
          </w:tcPr>
          <w:p>
            <w:r/>
            <w:r>
              <w:rPr>
                <w:rFonts w:ascii="Calibri" w:hAnsi="Calibri" w:eastAsia="Calibri"/>
                <w:b/>
                <w:i w:val="0"/>
                <w:color w:val="FFFFFF"/>
                <w:sz w:val="21"/>
              </w:rPr>
              <w:t>Our Listed Price</w:t>
            </w:r>
          </w:p>
        </w:tc>
        <w:tc>
          <w:tcPr>
            <w:tcW w:type="dxa" w:w="2016"/>
            <w:shd w:val="clear" w:color="auto" w:fill="2E74B5"/>
          </w:tcPr>
          <w:p>
            <w:r/>
            <w:r>
              <w:rPr>
                <w:rFonts w:ascii="Calibri" w:hAnsi="Calibri" w:eastAsia="Calibri"/>
                <w:b/>
                <w:i w:val="0"/>
                <w:color w:val="FFFFFF"/>
                <w:sz w:val="21"/>
              </w:rPr>
              <w:t>Market Reference</w:t>
            </w:r>
          </w:p>
        </w:tc>
        <w:tc>
          <w:tcPr>
            <w:tcW w:type="dxa" w:w="4320"/>
            <w:shd w:val="clear" w:color="auto" w:fill="2E74B5"/>
          </w:tcPr>
          <w:p>
            <w:r/>
            <w:r>
              <w:rPr>
                <w:rFonts w:ascii="Calibri" w:hAnsi="Calibri" w:eastAsia="Calibri"/>
                <w:b/>
                <w:i w:val="0"/>
                <w:color w:val="FFFFFF"/>
                <w:sz w:val="21"/>
              </w:rPr>
              <w:t>Recommended Proposal Position</w:t>
            </w:r>
          </w:p>
        </w:tc>
      </w:tr>
      <w:tr>
        <w:tc>
          <w:tcPr>
            <w:tcW w:type="dxa" w:w="2448"/>
          </w:tcPr>
          <w:p>
            <w:r/>
            <w:r>
              <w:rPr>
                <w:rFonts w:ascii="Calibri" w:hAnsi="Calibri" w:eastAsia="Calibri"/>
                <w:b w:val="0"/>
                <w:i w:val="0"/>
                <w:sz w:val="20"/>
              </w:rPr>
              <w:t>Document intake workflow</w:t>
            </w:r>
          </w:p>
        </w:tc>
        <w:tc>
          <w:tcPr>
            <w:tcW w:type="dxa" w:w="2016"/>
          </w:tcPr>
          <w:p>
            <w:r/>
            <w:r>
              <w:rPr>
                <w:rFonts w:ascii="Calibri" w:hAnsi="Calibri" w:eastAsia="Calibri"/>
                <w:b w:val="0"/>
                <w:i w:val="0"/>
                <w:sz w:val="20"/>
              </w:rPr>
              <w:t>Not listed</w:t>
            </w:r>
          </w:p>
        </w:tc>
        <w:tc>
          <w:tcPr>
            <w:tcW w:type="dxa" w:w="2016"/>
          </w:tcPr>
          <w:p>
            <w:r/>
            <w:r>
              <w:rPr>
                <w:rFonts w:ascii="Calibri" w:hAnsi="Calibri" w:eastAsia="Calibri"/>
                <w:b w:val="0"/>
                <w:i w:val="0"/>
                <w:sz w:val="20"/>
              </w:rPr>
              <w:t>Not listed</w:t>
            </w:r>
          </w:p>
        </w:tc>
        <w:tc>
          <w:tcPr>
            <w:tcW w:type="dxa" w:w="4320"/>
          </w:tcPr>
          <w:p>
            <w:r/>
            <w:r>
              <w:rPr>
                <w:rFonts w:ascii="Calibri" w:hAnsi="Calibri" w:eastAsia="Calibri"/>
                <w:b w:val="0"/>
                <w:i w:val="0"/>
                <w:sz w:val="20"/>
              </w:rPr>
              <w:t>Implementation Bundle: To be discussed - includes setup and support</w:t>
            </w:r>
          </w:p>
        </w:tc>
      </w:tr>
      <w:tr>
        <w:tc>
          <w:tcPr>
            <w:tcW w:type="dxa" w:w="2448"/>
            <w:shd w:val="clear" w:color="auto" w:fill="F9F9F9"/>
          </w:tcPr>
          <w:p>
            <w:r/>
            <w:r>
              <w:rPr>
                <w:rFonts w:ascii="Calibri" w:hAnsi="Calibri" w:eastAsia="Calibri"/>
                <w:b w:val="0"/>
                <w:i w:val="0"/>
                <w:sz w:val="20"/>
              </w:rPr>
              <w:t>Template-based proposal generation</w:t>
            </w:r>
          </w:p>
        </w:tc>
        <w:tc>
          <w:tcPr>
            <w:tcW w:type="dxa" w:w="2016"/>
            <w:shd w:val="clear" w:color="auto" w:fill="F9F9F9"/>
          </w:tcPr>
          <w:p>
            <w:r/>
            <w:r>
              <w:rPr>
                <w:rFonts w:ascii="Calibri" w:hAnsi="Calibri" w:eastAsia="Calibri"/>
                <w:b w:val="0"/>
                <w:i w:val="0"/>
                <w:sz w:val="20"/>
              </w:rPr>
              <w:t>Not listed</w:t>
            </w:r>
          </w:p>
        </w:tc>
        <w:tc>
          <w:tcPr>
            <w:tcW w:type="dxa" w:w="2016"/>
            <w:shd w:val="clear" w:color="auto" w:fill="F9F9F9"/>
          </w:tcPr>
          <w:p>
            <w:r/>
            <w:r>
              <w:rPr>
                <w:rFonts w:ascii="Calibri" w:hAnsi="Calibri" w:eastAsia="Calibri"/>
                <w:b w:val="0"/>
                <w:i w:val="0"/>
                <w:sz w:val="20"/>
              </w:rPr>
              <w:t>Not listed</w:t>
            </w:r>
          </w:p>
        </w:tc>
        <w:tc>
          <w:tcPr>
            <w:tcW w:type="dxa" w:w="4320"/>
            <w:shd w:val="clear" w:color="auto" w:fill="F9F9F9"/>
          </w:tcPr>
          <w:p>
            <w:r/>
            <w:r>
              <w:rPr>
                <w:rFonts w:ascii="Calibri" w:hAnsi="Calibri" w:eastAsia="Calibri"/>
                <w:b w:val="0"/>
                <w:i w:val="0"/>
                <w:sz w:val="20"/>
              </w:rPr>
              <w:t>Best Value Bundle: To be discussed - includes template preservation and QA</w:t>
            </w:r>
          </w:p>
        </w:tc>
      </w:tr>
    </w:tbl>
    <w:p>
      <w:pPr>
        <w:spacing w:after="120"/>
      </w:pPr>
    </w:p>
    <w:p>
      <w:r>
        <w:br w:type="page"/>
      </w:r>
    </w:p>
    <w:p>
      <w:pPr>
        <w:pStyle w:val="Heading1"/>
        <w:keepNext/>
        <w:spacing w:before="80" w:after="200"/>
        <w:pBdr>
          <w:bottom w:val="single" w:sz="10" w:space="4" w:color="2E74B5"/>
        </w:pBdr>
      </w:pPr>
      <w:r>
        <w:rPr>
          <w:rFonts w:ascii="Calibri" w:hAnsi="Calibri" w:eastAsia="Calibri"/>
          <w:b/>
          <w:i w:val="0"/>
          <w:color w:val="2E74B5"/>
          <w:sz w:val="34"/>
        </w:rPr>
        <w:t>5.0 Competitive Positioning</w:t>
      </w:r>
    </w:p>
    <w:p>
      <w:pPr>
        <w:spacing w:after="160"/>
        <w:jc w:val="both"/>
      </w:pPr>
      <w:r>
        <w:rPr>
          <w:rFonts w:ascii="Calibri" w:hAnsi="Calibri" w:eastAsia="Calibri"/>
          <w:b w:val="0"/>
          <w:i w:val="0"/>
          <w:sz w:val="22"/>
        </w:rPr>
        <w:t>Use best-value positioning while clearly flagging pricing assumptions.</w:t>
      </w:r>
    </w:p>
    <w:p>
      <w:pPr>
        <w:spacing w:before="40" w:after="40"/>
      </w:pP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2304"/>
            <w:shd w:val="clear" w:color="auto" w:fill="2E74B5"/>
          </w:tcPr>
          <w:p>
            <w:r/>
            <w:r>
              <w:rPr>
                <w:rFonts w:ascii="Calibri" w:hAnsi="Calibri" w:eastAsia="Calibri"/>
                <w:b/>
                <w:i w:val="0"/>
                <w:color w:val="FFFFFF"/>
                <w:sz w:val="21"/>
              </w:rPr>
              <w:t>Item</w:t>
            </w:r>
          </w:p>
        </w:tc>
        <w:tc>
          <w:tcPr>
            <w:tcW w:type="dxa" w:w="2880"/>
            <w:shd w:val="clear" w:color="auto" w:fill="2E74B5"/>
          </w:tcPr>
          <w:p>
            <w:r/>
            <w:r>
              <w:rPr>
                <w:rFonts w:ascii="Calibri" w:hAnsi="Calibri" w:eastAsia="Calibri"/>
                <w:b/>
                <w:i w:val="0"/>
                <w:color w:val="FFFFFF"/>
                <w:sz w:val="21"/>
              </w:rPr>
              <w:t>Market Sources</w:t>
            </w:r>
          </w:p>
        </w:tc>
        <w:tc>
          <w:tcPr>
            <w:tcW w:type="dxa" w:w="1728"/>
            <w:shd w:val="clear" w:color="auto" w:fill="2E74B5"/>
          </w:tcPr>
          <w:p>
            <w:r/>
            <w:r>
              <w:rPr>
                <w:rFonts w:ascii="Calibri" w:hAnsi="Calibri" w:eastAsia="Calibri"/>
                <w:b/>
                <w:i w:val="0"/>
                <w:color w:val="FFFFFF"/>
                <w:sz w:val="21"/>
              </w:rPr>
              <w:t>Observed Price</w:t>
            </w:r>
          </w:p>
        </w:tc>
        <w:tc>
          <w:tcPr>
            <w:tcW w:type="dxa" w:w="3888"/>
            <w:shd w:val="clear" w:color="auto" w:fill="2E74B5"/>
          </w:tcPr>
          <w:p>
            <w:r/>
            <w:r>
              <w:rPr>
                <w:rFonts w:ascii="Calibri" w:hAnsi="Calibri" w:eastAsia="Calibri"/>
                <w:b/>
                <w:i w:val="0"/>
                <w:color w:val="FFFFFF"/>
                <w:sz w:val="21"/>
              </w:rPr>
              <w:t>Positioning Note</w:t>
            </w:r>
          </w:p>
        </w:tc>
      </w:tr>
      <w:tr>
        <w:tc>
          <w:tcPr>
            <w:tcW w:type="dxa" w:w="2304"/>
          </w:tcPr>
          <w:p>
            <w:r/>
            <w:r>
              <w:rPr>
                <w:rFonts w:ascii="Calibri" w:hAnsi="Calibri" w:eastAsia="Calibri"/>
                <w:b w:val="0"/>
                <w:i w:val="0"/>
                <w:sz w:val="20"/>
              </w:rPr>
              <w:t>Document intake workflow</w:t>
            </w:r>
          </w:p>
        </w:tc>
        <w:tc>
          <w:tcPr>
            <w:tcW w:type="dxa" w:w="2880"/>
          </w:tcPr>
          <w:p>
            <w:r/>
            <w:r>
              <w:rPr>
                <w:rFonts w:ascii="Calibri" w:hAnsi="Calibri" w:eastAsia="Calibri"/>
                <w:b w:val="0"/>
                <w:i w:val="0"/>
                <w:sz w:val="20"/>
              </w:rPr>
              <w:t>Market source</w:t>
            </w:r>
          </w:p>
        </w:tc>
        <w:tc>
          <w:tcPr>
            <w:tcW w:type="dxa" w:w="1728"/>
          </w:tcPr>
          <w:p>
            <w:r/>
            <w:r>
              <w:rPr>
                <w:rFonts w:ascii="Calibri" w:hAnsi="Calibri" w:eastAsia="Calibri"/>
                <w:b w:val="0"/>
                <w:i w:val="0"/>
                <w:sz w:val="20"/>
              </w:rPr>
              <w:t>Not listed</w:t>
            </w:r>
          </w:p>
        </w:tc>
        <w:tc>
          <w:tcPr>
            <w:tcW w:type="dxa" w:w="3888"/>
          </w:tcPr>
          <w:p>
            <w:r/>
            <w:r>
              <w:rPr>
                <w:rFonts w:ascii="Calibri" w:hAnsi="Calibri" w:eastAsia="Calibri"/>
                <w:b w:val="0"/>
                <w:i w:val="0"/>
                <w:sz w:val="20"/>
              </w:rPr>
              <w:t>Position around fit, editable output, and transparent implementation assumptions.</w:t>
            </w:r>
          </w:p>
        </w:tc>
      </w:tr>
    </w:tbl>
    <w:p>
      <w:pPr>
        <w:spacing w:after="120"/>
      </w:pPr>
    </w:p>
    <w:p>
      <w:r>
        <w:br w:type="page"/>
      </w:r>
    </w:p>
    <w:p>
      <w:pPr>
        <w:pStyle w:val="Heading1"/>
        <w:keepNext/>
        <w:spacing w:before="80" w:after="200"/>
        <w:pBdr>
          <w:bottom w:val="single" w:sz="10" w:space="4" w:color="2E74B5"/>
        </w:pBdr>
      </w:pPr>
      <w:r>
        <w:rPr>
          <w:rFonts w:ascii="Calibri" w:hAnsi="Calibri" w:eastAsia="Calibri"/>
          <w:b/>
          <w:i w:val="0"/>
          <w:color w:val="2E74B5"/>
          <w:sz w:val="34"/>
        </w:rPr>
        <w:t>6.0 Implementation Timeline</w:t>
      </w:r>
    </w:p>
    <w:p>
      <w:pPr>
        <w:spacing w:before="40" w:after="40"/>
      </w:pP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448"/>
            <w:shd w:val="clear" w:color="auto" w:fill="2E74B5"/>
          </w:tcPr>
          <w:p>
            <w:r/>
            <w:r>
              <w:rPr>
                <w:rFonts w:ascii="Calibri" w:hAnsi="Calibri" w:eastAsia="Calibri"/>
                <w:b/>
                <w:i w:val="0"/>
                <w:color w:val="FFFFFF"/>
                <w:sz w:val="21"/>
              </w:rPr>
              <w:t>Phase</w:t>
            </w:r>
          </w:p>
        </w:tc>
        <w:tc>
          <w:tcPr>
            <w:tcW w:type="dxa" w:w="2016"/>
            <w:shd w:val="clear" w:color="auto" w:fill="2E74B5"/>
          </w:tcPr>
          <w:p>
            <w:r/>
            <w:r>
              <w:rPr>
                <w:rFonts w:ascii="Calibri" w:hAnsi="Calibri" w:eastAsia="Calibri"/>
                <w:b/>
                <w:i w:val="0"/>
                <w:color w:val="FFFFFF"/>
                <w:sz w:val="21"/>
              </w:rPr>
              <w:t>Duration</w:t>
            </w:r>
          </w:p>
        </w:tc>
        <w:tc>
          <w:tcPr>
            <w:tcW w:type="dxa" w:w="6336"/>
            <w:shd w:val="clear" w:color="auto" w:fill="2E74B5"/>
          </w:tcPr>
          <w:p>
            <w:r/>
            <w:r>
              <w:rPr>
                <w:rFonts w:ascii="Calibri" w:hAnsi="Calibri" w:eastAsia="Calibri"/>
                <w:b/>
                <w:i w:val="0"/>
                <w:color w:val="FFFFFF"/>
                <w:sz w:val="21"/>
              </w:rPr>
              <w:t>Focus</w:t>
            </w:r>
          </w:p>
        </w:tc>
      </w:tr>
      <w:tr>
        <w:tc>
          <w:tcPr>
            <w:tcW w:type="dxa" w:w="2448"/>
          </w:tcPr>
          <w:p>
            <w:r/>
            <w:r>
              <w:rPr>
                <w:rFonts w:ascii="Calibri" w:hAnsi="Calibri" w:eastAsia="Calibri"/>
                <w:b w:val="0"/>
                <w:i w:val="0"/>
                <w:sz w:val="20"/>
              </w:rPr>
              <w:t>1. Kickoff and Clarification</w:t>
            </w:r>
          </w:p>
        </w:tc>
        <w:tc>
          <w:tcPr>
            <w:tcW w:type="dxa" w:w="2016"/>
          </w:tcPr>
          <w:p>
            <w:r/>
            <w:r>
              <w:rPr>
                <w:rFonts w:ascii="Calibri" w:hAnsi="Calibri" w:eastAsia="Calibri"/>
                <w:b w:val="0"/>
                <w:i w:val="0"/>
                <w:sz w:val="20"/>
              </w:rPr>
              <w:t>Week 1</w:t>
            </w:r>
          </w:p>
        </w:tc>
        <w:tc>
          <w:tcPr>
            <w:tcW w:type="dxa" w:w="6336"/>
          </w:tcPr>
          <w:p>
            <w:r/>
            <w:r>
              <w:rPr>
                <w:rFonts w:ascii="Calibri" w:hAnsi="Calibri" w:eastAsia="Calibri"/>
                <w:b w:val="0"/>
                <w:i w:val="0"/>
                <w:sz w:val="20"/>
              </w:rPr>
              <w:t>Confirm final scope, stakeholders, compliance obligations, and acceptance criteria.</w:t>
            </w:r>
          </w:p>
        </w:tc>
      </w:tr>
      <w:tr>
        <w:tc>
          <w:tcPr>
            <w:tcW w:type="dxa" w:w="2448"/>
            <w:shd w:val="clear" w:color="auto" w:fill="F9F9F9"/>
          </w:tcPr>
          <w:p>
            <w:r/>
            <w:r>
              <w:rPr>
                <w:rFonts w:ascii="Calibri" w:hAnsi="Calibri" w:eastAsia="Calibri"/>
                <w:b w:val="0"/>
                <w:i w:val="0"/>
                <w:sz w:val="20"/>
              </w:rPr>
              <w:t>2. Delivery Planning</w:t>
            </w:r>
          </w:p>
        </w:tc>
        <w:tc>
          <w:tcPr>
            <w:tcW w:type="dxa" w:w="2016"/>
            <w:shd w:val="clear" w:color="auto" w:fill="F9F9F9"/>
          </w:tcPr>
          <w:p>
            <w:r/>
            <w:r>
              <w:rPr>
                <w:rFonts w:ascii="Calibri" w:hAnsi="Calibri" w:eastAsia="Calibri"/>
                <w:b w:val="0"/>
                <w:i w:val="0"/>
                <w:sz w:val="20"/>
              </w:rPr>
              <w:t>Weeks 1-2</w:t>
            </w:r>
          </w:p>
        </w:tc>
        <w:tc>
          <w:tcPr>
            <w:tcW w:type="dxa" w:w="6336"/>
            <w:shd w:val="clear" w:color="auto" w:fill="F9F9F9"/>
          </w:tcPr>
          <w:p>
            <w:r/>
            <w:r>
              <w:rPr>
                <w:rFonts w:ascii="Calibri" w:hAnsi="Calibri" w:eastAsia="Calibri"/>
                <w:b w:val="0"/>
                <w:i w:val="0"/>
                <w:sz w:val="20"/>
              </w:rPr>
              <w:t>Finalize work breakdown, staffing, schedule, risk register, and communication cadence.</w:t>
            </w:r>
          </w:p>
        </w:tc>
      </w:tr>
      <w:tr>
        <w:tc>
          <w:tcPr>
            <w:tcW w:type="dxa" w:w="2448"/>
          </w:tcPr>
          <w:p>
            <w:r/>
            <w:r>
              <w:rPr>
                <w:rFonts w:ascii="Calibri" w:hAnsi="Calibri" w:eastAsia="Calibri"/>
                <w:b w:val="0"/>
                <w:i w:val="0"/>
                <w:sz w:val="20"/>
              </w:rPr>
              <w:t>3. Execution</w:t>
            </w:r>
          </w:p>
        </w:tc>
        <w:tc>
          <w:tcPr>
            <w:tcW w:type="dxa" w:w="2016"/>
          </w:tcPr>
          <w:p>
            <w:r/>
            <w:r>
              <w:rPr>
                <w:rFonts w:ascii="Calibri" w:hAnsi="Calibri" w:eastAsia="Calibri"/>
                <w:b w:val="0"/>
                <w:i w:val="0"/>
                <w:sz w:val="20"/>
              </w:rPr>
              <w:t>Primary contract period</w:t>
            </w:r>
          </w:p>
        </w:tc>
        <w:tc>
          <w:tcPr>
            <w:tcW w:type="dxa" w:w="6336"/>
          </w:tcPr>
          <w:p>
            <w:r/>
            <w:r>
              <w:rPr>
                <w:rFonts w:ascii="Calibri" w:hAnsi="Calibri" w:eastAsia="Calibri"/>
                <w:b w:val="0"/>
                <w:i w:val="0"/>
                <w:sz w:val="20"/>
              </w:rPr>
              <w:t>Deliver the products or services mapped in the scope section with regular status reporting.</w:t>
            </w:r>
          </w:p>
        </w:tc>
      </w:tr>
      <w:tr>
        <w:tc>
          <w:tcPr>
            <w:tcW w:type="dxa" w:w="2448"/>
            <w:shd w:val="clear" w:color="auto" w:fill="F9F9F9"/>
          </w:tcPr>
          <w:p>
            <w:r/>
            <w:r>
              <w:rPr>
                <w:rFonts w:ascii="Calibri" w:hAnsi="Calibri" w:eastAsia="Calibri"/>
                <w:b w:val="0"/>
                <w:i w:val="0"/>
                <w:sz w:val="20"/>
              </w:rPr>
              <w:t>4. Acceptance and Closeout</w:t>
            </w:r>
          </w:p>
        </w:tc>
        <w:tc>
          <w:tcPr>
            <w:tcW w:type="dxa" w:w="2016"/>
            <w:shd w:val="clear" w:color="auto" w:fill="F9F9F9"/>
          </w:tcPr>
          <w:p>
            <w:r/>
            <w:r>
              <w:rPr>
                <w:rFonts w:ascii="Calibri" w:hAnsi="Calibri" w:eastAsia="Calibri"/>
                <w:b w:val="0"/>
                <w:i w:val="0"/>
                <w:sz w:val="20"/>
              </w:rPr>
              <w:t>Final delivery window</w:t>
            </w:r>
          </w:p>
        </w:tc>
        <w:tc>
          <w:tcPr>
            <w:tcW w:type="dxa" w:w="6336"/>
            <w:shd w:val="clear" w:color="auto" w:fill="F9F9F9"/>
          </w:tcPr>
          <w:p>
            <w:r/>
            <w:r>
              <w:rPr>
                <w:rFonts w:ascii="Calibri" w:hAnsi="Calibri" w:eastAsia="Calibri"/>
                <w:b w:val="0"/>
                <w:i w:val="0"/>
                <w:sz w:val="20"/>
              </w:rPr>
              <w:t>Support review, corrections, knowledge transfer, and formal closeout documentation.</w:t>
            </w:r>
          </w:p>
        </w:tc>
      </w:tr>
    </w:tbl>
    <w:p>
      <w:pPr>
        <w:spacing w:after="120"/>
      </w:pPr>
    </w:p>
    <w:p>
      <w:r>
        <w:br w:type="page"/>
      </w:r>
    </w:p>
    <w:p>
      <w:pPr>
        <w:pStyle w:val="Heading1"/>
        <w:keepNext/>
        <w:spacing w:before="80" w:after="200"/>
        <w:pBdr>
          <w:bottom w:val="single" w:sz="10" w:space="4" w:color="2E74B5"/>
        </w:pBdr>
      </w:pPr>
      <w:r>
        <w:rPr>
          <w:rFonts w:ascii="Calibri" w:hAnsi="Calibri" w:eastAsia="Calibri"/>
          <w:b/>
          <w:i w:val="0"/>
          <w:color w:val="2E74B5"/>
          <w:sz w:val="34"/>
        </w:rPr>
        <w:t>7.0 Terms, Compliance, and Next Steps</w:t>
      </w:r>
    </w:p>
    <w:p>
      <w:pPr>
        <w:pStyle w:val="ListBullet"/>
        <w:spacing w:after="80"/>
      </w:pPr>
      <w:r>
        <w:rPr>
          <w:rFonts w:ascii="Calibri" w:hAnsi="Calibri" w:eastAsia="Calibri"/>
          <w:b w:val="0"/>
          <w:i w:val="0"/>
          <w:sz w:val="22"/>
        </w:rPr>
        <w:t>Final pricing is subject to validation against the buyer's final statement of work, quantities, and contractual terms.</w:t>
      </w:r>
    </w:p>
    <w:p>
      <w:pPr>
        <w:pStyle w:val="ListBullet"/>
        <w:spacing w:after="80"/>
      </w:pPr>
      <w:r>
        <w:rPr>
          <w:rFonts w:ascii="Calibri" w:hAnsi="Calibri" w:eastAsia="Calibri"/>
          <w:b w:val="0"/>
          <w:i w:val="0"/>
          <w:sz w:val="22"/>
        </w:rPr>
        <w:t>Any items marked as not specified or to be discussed require buyer clarification before contract award or execution.</w:t>
      </w:r>
    </w:p>
    <w:p>
      <w:pPr>
        <w:pStyle w:val="ListBullet"/>
        <w:spacing w:after="80"/>
      </w:pPr>
      <w:r>
        <w:rPr>
          <w:rFonts w:ascii="Calibri" w:hAnsi="Calibri" w:eastAsia="Calibri"/>
          <w:b w:val="0"/>
          <w:i w:val="0"/>
          <w:sz w:val="22"/>
        </w:rPr>
        <w:t>Project governance will include kickoff alignment, regular status reporting, risk tracking, and formal acceptance checkpoints.</w:t>
      </w:r>
    </w:p>
    <w:p>
      <w:pPr>
        <w:pStyle w:val="ListBullet"/>
        <w:spacing w:after="80"/>
      </w:pPr>
      <w:r>
        <w:rPr>
          <w:rFonts w:ascii="Calibri" w:hAnsi="Calibri" w:eastAsia="Calibri"/>
          <w:b w:val="0"/>
          <w:i w:val="0"/>
          <w:sz w:val="22"/>
        </w:rPr>
        <w:t>Warranty, support, and service-level commitments will be finalized in accordance with the solicitation and negotiated agreement.</w:t>
      </w:r>
    </w:p>
    <w:p>
      <w:pPr>
        <w:pStyle w:val="ListBullet"/>
        <w:spacing w:after="80"/>
      </w:pPr>
      <w:r>
        <w:rPr>
          <w:rFonts w:ascii="Calibri" w:hAnsi="Calibri" w:eastAsia="Calibri"/>
          <w:b w:val="0"/>
          <w:i w:val="0"/>
          <w:sz w:val="22"/>
        </w:rPr>
        <w:t>Compliance requirement to address: Protect uploaded documents and extracted text</w:t>
      </w:r>
    </w:p>
    <w:p>
      <w:pPr>
        <w:pStyle w:val="ListBullet"/>
        <w:spacing w:after="80"/>
      </w:pPr>
      <w:r>
        <w:rPr>
          <w:rFonts w:ascii="Calibri" w:hAnsi="Calibri" w:eastAsia="Calibri"/>
          <w:b w:val="0"/>
          <w:i w:val="0"/>
          <w:sz w:val="22"/>
        </w:rPr>
        <w:t>Compliance requirement to address: Preserve template branding in generated artifacts</w:t>
      </w:r>
    </w:p>
    <w:p>
      <w:pPr>
        <w:keepNext/>
        <w:spacing w:before="200" w:after="80"/>
      </w:pPr>
      <w:r>
        <w:rPr>
          <w:rFonts w:ascii="Calibri" w:hAnsi="Calibri" w:eastAsia="Calibri"/>
          <w:b/>
          <w:i w:val="0"/>
          <w:sz w:val="25"/>
        </w:rPr>
        <w:t>Next Steps</w:t>
      </w:r>
    </w:p>
    <w:p>
      <w:pPr>
        <w:pStyle w:val="ListNumber"/>
        <w:spacing w:after="80"/>
      </w:pPr>
      <w:r>
        <w:rPr>
          <w:rFonts w:ascii="Calibri" w:hAnsi="Calibri" w:eastAsia="Calibri"/>
          <w:b w:val="0"/>
          <w:i w:val="0"/>
          <w:sz w:val="22"/>
        </w:rPr>
        <w:t>Review this generated response against the solicitation instructions and attachment checklist.</w:t>
      </w:r>
    </w:p>
    <w:p>
      <w:pPr>
        <w:pStyle w:val="ListNumber"/>
        <w:spacing w:after="80"/>
      </w:pPr>
      <w:r>
        <w:rPr>
          <w:rFonts w:ascii="Calibri" w:hAnsi="Calibri" w:eastAsia="Calibri"/>
          <w:b w:val="0"/>
          <w:i w:val="0"/>
          <w:sz w:val="22"/>
        </w:rPr>
        <w:t>Confirm any open pricing, compliance, or delivery assumptions with the proposal owner.</w:t>
      </w:r>
    </w:p>
    <w:p>
      <w:pPr>
        <w:pStyle w:val="ListNumber"/>
        <w:spacing w:after="80"/>
      </w:pPr>
      <w:r>
        <w:rPr>
          <w:rFonts w:ascii="Calibri" w:hAnsi="Calibri" w:eastAsia="Calibri"/>
          <w:b w:val="0"/>
          <w:i w:val="0"/>
          <w:sz w:val="22"/>
        </w:rPr>
        <w:t>Finalize attachments, signatures, representations, and submission packaging required by the buyer.</w:t>
      </w:r>
    </w:p>
    <w:sectPr w:rsidR="00FC693F" w:rsidRPr="0006063C" w:rsidSect="00034616">
      <w:headerReference w:type="first" r:id="rId9"/>
      <w:footerReference w:type="first" r:id="rId10"/>
      <w:headerReference w:type="default" r:id="rId11"/>
      <w:footerReference w:type="default" r:id="rId12"/>
      <w:pgSz w:w="12240" w:h="15840"/>
      <w:pgMar w:top="1296" w:right="1080" w:bottom="1296"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5400"/>
      <w:gridCol w:w="5400"/>
    </w:tblGrid>
    <w:tr>
      <w:tc>
        <w:tcPr>
          <w:tcW w:type="dxa" w:w="5400"/>
        </w:tcPr>
        <w:p>
          <w:r/>
          <w:r>
            <w:drawing>
              <wp:inline xmlns:a="http://schemas.openxmlformats.org/drawingml/2006/main" xmlns:pic="http://schemas.openxmlformats.org/drawingml/2006/picture">
                <wp:extent cx="1005840" cy="375506"/>
                <wp:docPr id="1" name="Picture 1"/>
                <wp:cNvGraphicFramePr>
                  <a:graphicFrameLocks noChangeAspect="1"/>
                </wp:cNvGraphicFramePr>
                <a:graphic>
                  <a:graphicData uri="http://schemas.openxmlformats.org/drawingml/2006/picture">
                    <pic:pic>
                      <pic:nvPicPr>
                        <pic:cNvPr id="0" name="WK T360 Proposal - September 11, 2024_extracted_logo.png"/>
                        <pic:cNvPicPr/>
                      </pic:nvPicPr>
                      <pic:blipFill>
                        <a:blip r:embed="rId1"/>
                        <a:stretch>
                          <a:fillRect/>
                        </a:stretch>
                      </pic:blipFill>
                      <pic:spPr>
                        <a:xfrm>
                          <a:off x="0" y="0"/>
                          <a:ext cx="1005840" cy="375506"/>
                        </a:xfrm>
                        <a:prstGeom prst="rect"/>
                      </pic:spPr>
                    </pic:pic>
                  </a:graphicData>
                </a:graphic>
              </wp:inline>
            </w:drawing>
          </w:r>
        </w:p>
        <w:p>
          <w:r>
            <w:rPr>
              <w:rFonts w:ascii="Calibri" w:hAnsi="Calibri" w:eastAsia="Calibri"/>
              <w:b w:val="0"/>
              <w:i w:val="0"/>
              <w:sz w:val="16"/>
            </w:rPr>
            <w:t xml:space="preserve">Page </w:t>
          </w:r>
          <w:r>
            <w:fldChar w:fldCharType="begin"/>
          </w:r>
          <w:r>
            <w:instrText xml:space="preserve"> PAGE </w:instrText>
          </w:r>
          <w:r>
            <w:fldChar w:fldCharType="end"/>
          </w:r>
          <w:r>
            <w:rPr>
              <w:rFonts w:ascii="Calibri" w:hAnsi="Calibri" w:eastAsia="Calibri"/>
              <w:b w:val="0"/>
              <w:i w:val="0"/>
              <w:sz w:val="16"/>
            </w:rPr>
            <w:t xml:space="preserve"> of </w:t>
          </w:r>
          <w:r>
            <w:fldChar w:fldCharType="begin"/>
          </w:r>
          <w:r>
            <w:instrText xml:space="preserve"> NUMPAGES </w:instrText>
          </w:r>
          <w:r>
            <w:fldChar w:fldCharType="end"/>
          </w:r>
        </w:p>
      </w:tc>
      <w:tc>
        <w:tcPr>
          <w:tcW w:type="dxa" w:w="5400"/>
        </w:tcPr>
        <w:p>
          <w:pPr>
            <w:jc w:val="right"/>
          </w:pPr>
          <w:r/>
          <w:r>
            <w:rPr>
              <w:rFonts w:ascii="Calibri" w:hAnsi="Calibri" w:eastAsia="Calibri"/>
              <w:b w:val="0"/>
              <w:i w:val="0"/>
              <w:color w:val="595959"/>
              <w:sz w:val="16"/>
            </w:rPr>
            <w:t>OrbitAvanya Tech LLP</w:t>
            <w:br/>
          </w:r>
          <w:r>
            <w:rPr>
              <w:rFonts w:ascii="Calibri" w:hAnsi="Calibri" w:eastAsia="Calibri"/>
              <w:b w:val="0"/>
              <w:i w:val="0"/>
              <w:color w:val="595959"/>
              <w:sz w:val="20"/>
            </w:rPr>
            <w:t>www.orbitavanyatech.com</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375506"/>
          <wp:docPr id="1" name="Picture 1"/>
          <wp:cNvGraphicFramePr>
            <a:graphicFrameLocks noChangeAspect="1"/>
          </wp:cNvGraphicFramePr>
          <a:graphic>
            <a:graphicData uri="http://schemas.openxmlformats.org/drawingml/2006/picture">
              <pic:pic>
                <pic:nvPicPr>
                  <pic:cNvPr id="0" name="WK T360 Proposal - September 11, 2024_extracted_logo.png"/>
                  <pic:cNvPicPr/>
                </pic:nvPicPr>
                <pic:blipFill>
                  <a:blip r:embed="rId1"/>
                  <a:stretch>
                    <a:fillRect/>
                  </a:stretch>
                </pic:blipFill>
                <pic:spPr>
                  <a:xfrm>
                    <a:off x="0" y="0"/>
                    <a:ext cx="1005840" cy="375506"/>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400"/>
      <w:gridCol w:w="5400"/>
    </w:tblGrid>
    <w:tr>
      <w:tc>
        <w:tcPr>
          <w:tcW w:type="dxa" w:w="5400"/>
        </w:tcPr>
        <w:p>
          <w:r/>
          <w:r>
            <w:rPr>
              <w:rFonts w:ascii="Calibri" w:hAnsi="Calibri" w:eastAsia="Calibri"/>
              <w:b w:val="0"/>
              <w:i w:val="0"/>
              <w:sz w:val="20"/>
            </w:rPr>
            <w:t>Customer</w:t>
            <w:br/>
          </w:r>
          <w:r>
            <w:rPr>
              <w:rFonts w:ascii="Calibri" w:hAnsi="Calibri" w:eastAsia="Calibri"/>
              <w:b/>
              <w:i w:val="0"/>
              <w:sz w:val="20"/>
            </w:rPr>
            <w:t>Sample Evaluation Agency</w:t>
          </w:r>
        </w:p>
      </w:tc>
      <w:tc>
        <w:tcPr>
          <w:tcW w:type="dxa" w:w="5400"/>
        </w:tcPr>
        <w:p>
          <w:pPr>
            <w:jc w:val="right"/>
          </w:pPr>
          <w:r/>
          <w:r>
            <w:rPr>
              <w:rFonts w:ascii="Calibri" w:hAnsi="Calibri" w:eastAsia="Calibri"/>
              <w:b/>
              <w:i w:val="0"/>
              <w:sz w:val="20"/>
            </w:rPr>
            <w:t>Proposal</w:t>
            <w:br/>
          </w:r>
          <w:r>
            <w:rPr>
              <w:rFonts w:ascii="Calibri" w:hAnsi="Calibri" w:eastAsia="Calibri"/>
              <w:b w:val="0"/>
              <w:i w:val="0"/>
              <w:sz w:val="16"/>
            </w:rPr>
            <w:t>OrbitAvanya Tech LLP</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compat>
    <w:compatSetting w:name="useWord2013TrackBottomHyphenation" w:uri="http://schemas.microsoft.com/office/word" w:val="0"/>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