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5943600" cy="2218898"/>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3"/>
                    <a:stretch>
                      <a:fillRect/>
                    </a:stretch>
                  </pic:blipFill>
                  <pic:spPr>
                    <a:xfrm>
                      <a:off x="0" y="0"/>
                      <a:ext cx="5943600" cy="2218898"/>
                    </a:xfrm>
                    <a:prstGeom prst="rect"/>
                  </pic:spPr>
                </pic:pic>
              </a:graphicData>
            </a:graphic>
          </wp:inline>
        </w:drawing>
      </w:r>
    </w:p>
    <w:p>
      <w:pPr>
        <w:spacing w:after="120"/>
        <w:jc w:val="center"/>
      </w:pPr>
      <w:r>
        <w:rPr>
          <w:rFonts w:ascii="Calibri" w:hAnsi="Calibri" w:eastAsia="Calibri"/>
          <w:b/>
          <w:i w:val="0"/>
          <w:color w:val="2E74B5"/>
          <w:sz w:val="56"/>
        </w:rPr>
        <w:t>RFP Response Proposal</w:t>
      </w:r>
    </w:p>
    <w:p>
      <w:pPr>
        <w:spacing w:after="400"/>
        <w:jc w:val="center"/>
      </w:pPr>
      <w:r>
        <w:rPr>
          <w:rFonts w:ascii="Calibri" w:hAnsi="Calibri" w:eastAsia="Calibri"/>
          <w:b w:val="0"/>
          <w:i w:val="0"/>
          <w:sz w:val="28"/>
        </w:rPr>
        <w:t>Technical &amp; Pricing Proposal</w:t>
      </w:r>
    </w:p>
    <w:p>
      <w:pPr>
        <w:jc w:val="center"/>
      </w:pPr>
      <w:r>
        <w:rPr>
          <w:rFonts w:ascii="Calibri" w:hAnsi="Calibri" w:eastAsia="Calibri"/>
          <w:b w:val="0"/>
          <w:i w:val="0"/>
          <w:color w:val="595959"/>
          <w:sz w:val="19"/>
        </w:rPr>
        <w:t>Prepared for: National Oceanic and Atmospheric Administration (NOAA) / National Weather Service (NWS)</w:t>
      </w:r>
      <w:r>
        <w:rPr>
          <w:rFonts w:ascii="Calibri" w:hAnsi="Calibri" w:eastAsia="Calibri"/>
          <w:b w:val="0"/>
          <w:i w:val="0"/>
          <w:color w:val="595959"/>
          <w:sz w:val="19"/>
        </w:rPr>
        <w:t xml:space="preserve">  |  </w:t>
      </w:r>
      <w:r>
        <w:rPr>
          <w:rFonts w:ascii="Calibri" w:hAnsi="Calibri" w:eastAsia="Calibri"/>
          <w:b w:val="0"/>
          <w:i w:val="0"/>
          <w:color w:val="595959"/>
          <w:sz w:val="19"/>
        </w:rPr>
        <w:t>Prepared by: Ranjeet Kumar — Founder &amp; CEO, OrbitAvanya Tech LLP (AvanyaEdge)</w:t>
      </w:r>
      <w:r>
        <w:rPr>
          <w:rFonts w:ascii="Calibri" w:hAnsi="Calibri" w:eastAsia="Calibri"/>
          <w:b w:val="0"/>
          <w:i w:val="0"/>
          <w:color w:val="595959"/>
          <w:sz w:val="19"/>
        </w:rPr>
        <w:t xml:space="preserve">  |  </w:t>
      </w:r>
      <w:r>
        <w:rPr>
          <w:rFonts w:ascii="Calibri" w:hAnsi="Calibri" w:eastAsia="Calibri"/>
          <w:b w:val="0"/>
          <w:i w:val="0"/>
          <w:color w:val="595959"/>
          <w:sz w:val="19"/>
        </w:rPr>
        <w:t>Engagement Reference: OAT-BIDFORGE-20260722</w:t>
      </w:r>
      <w:r>
        <w:rPr>
          <w:rFonts w:ascii="Calibri" w:hAnsi="Calibri" w:eastAsia="Calibri"/>
          <w:b w:val="0"/>
          <w:i w:val="0"/>
          <w:color w:val="595959"/>
          <w:sz w:val="19"/>
        </w:rPr>
        <w:t xml:space="preserve">  |  </w:t>
      </w:r>
      <w:r>
        <w:rPr>
          <w:rFonts w:ascii="Calibri" w:hAnsi="Calibri" w:eastAsia="Calibri"/>
          <w:b w:val="0"/>
          <w:i w:val="0"/>
          <w:color w:val="595959"/>
          <w:sz w:val="19"/>
        </w:rPr>
        <w:t>Proposal Date: July 22, 2026</w:t>
      </w:r>
      <w:r>
        <w:rPr>
          <w:rFonts w:ascii="Calibri" w:hAnsi="Calibri" w:eastAsia="Calibri"/>
          <w:b w:val="0"/>
          <w:i w:val="0"/>
          <w:color w:val="595959"/>
          <w:sz w:val="19"/>
        </w:rPr>
        <w:t xml:space="preserve">  |  </w:t>
      </w:r>
      <w:r>
        <w:rPr>
          <w:rFonts w:ascii="Calibri" w:hAnsi="Calibri" w:eastAsia="Calibri"/>
          <w:b w:val="0"/>
          <w:i w:val="0"/>
          <w:color w:val="595959"/>
          <w:sz w:val="19"/>
        </w:rPr>
        <w:t>Validity: 90 days from proposal date</w:t>
      </w:r>
    </w:p>
    <w:p>
      <w:r>
        <w:br w:type="page"/>
      </w:r>
    </w:p>
    <w:p>
      <w:pPr>
        <w:spacing w:after="200"/>
      </w:pPr>
      <w:r>
        <w:rPr>
          <w:rFonts w:ascii="Calibri" w:hAnsi="Calibri" w:eastAsia="Calibri"/>
          <w:b/>
          <w:i w:val="0"/>
          <w:color w:val="2E74B5"/>
          <w:sz w:val="40"/>
        </w:rPr>
        <w:t>Content</w:t>
      </w:r>
    </w:p>
    <w:tbl>
      <w:tblPr>
        <w:tblW w:type="auto" w:w="0"/>
        <w:jc w:val="left"/>
        <w:tblLayout w:type="fixed"/>
        <w:tblLook w:firstColumn="1" w:firstRow="1" w:lastColumn="0" w:lastRow="0" w:noHBand="0" w:noVBand="1" w:val="04A0"/>
      </w:tblPr>
      <w:tblGrid>
        <w:gridCol w:w="5040"/>
        <w:gridCol w:w="5040"/>
      </w:tblGrid>
      <w:tr>
        <w:tc>
          <w:tcPr>
            <w:tcW w:type="dxa" w:w="864"/>
          </w:tcPr>
          <w:p>
            <w:r>
              <w:rPr>
                <w:rFonts w:ascii="Calibri" w:hAnsi="Calibri" w:eastAsia="Calibri"/>
                <w:b/>
                <w:i w:val="0"/>
                <w:color w:val="2E74B5"/>
                <w:sz w:val="22"/>
              </w:rPr>
              <w:t>01</w:t>
            </w:r>
          </w:p>
        </w:tc>
        <w:tc>
          <w:tcPr>
            <w:tcW w:type="dxa" w:w="9936"/>
          </w:tcPr>
          <w:p>
            <w:r>
              <w:rPr>
                <w:rFonts w:ascii="Calibri" w:hAnsi="Calibri" w:eastAsia="Calibri"/>
                <w:b w:val="0"/>
                <w:i w:val="0"/>
                <w:sz w:val="22"/>
              </w:rPr>
              <w:t>Executive Summary</w:t>
            </w:r>
          </w:p>
        </w:tc>
      </w:tr>
      <w:tr>
        <w:tc>
          <w:tcPr>
            <w:tcW w:type="dxa" w:w="864"/>
          </w:tcPr>
          <w:p>
            <w:r>
              <w:rPr>
                <w:rFonts w:ascii="Calibri" w:hAnsi="Calibri" w:eastAsia="Calibri"/>
                <w:b/>
                <w:i w:val="0"/>
                <w:color w:val="2E74B5"/>
                <w:sz w:val="22"/>
              </w:rPr>
              <w:t>02</w:t>
            </w:r>
          </w:p>
        </w:tc>
        <w:tc>
          <w:tcPr>
            <w:tcW w:type="dxa" w:w="9936"/>
          </w:tcPr>
          <w:p>
            <w:r>
              <w:rPr>
                <w:rFonts w:ascii="Calibri" w:hAnsi="Calibri" w:eastAsia="Calibri"/>
                <w:b w:val="0"/>
                <w:i w:val="0"/>
                <w:sz w:val="22"/>
              </w:rPr>
              <w:t>Scope of Work</w:t>
            </w:r>
          </w:p>
        </w:tc>
      </w:tr>
      <w:tr>
        <w:tc>
          <w:tcPr>
            <w:tcW w:type="dxa" w:w="864"/>
          </w:tcPr>
          <w:p>
            <w:r>
              <w:rPr>
                <w:rFonts w:ascii="Calibri" w:hAnsi="Calibri" w:eastAsia="Calibri"/>
                <w:b/>
                <w:i w:val="0"/>
                <w:color w:val="2E74B5"/>
                <w:sz w:val="22"/>
              </w:rPr>
              <w:t>03</w:t>
            </w:r>
          </w:p>
        </w:tc>
        <w:tc>
          <w:tcPr>
            <w:tcW w:type="dxa" w:w="9936"/>
          </w:tcPr>
          <w:p>
            <w:r>
              <w:rPr>
                <w:rFonts w:ascii="Calibri" w:hAnsi="Calibri" w:eastAsia="Calibri"/>
                <w:b w:val="0"/>
                <w:i w:val="0"/>
                <w:sz w:val="22"/>
              </w:rPr>
              <w:t>Pricing</w:t>
            </w:r>
          </w:p>
        </w:tc>
      </w:tr>
      <w:tr>
        <w:tc>
          <w:tcPr>
            <w:tcW w:type="dxa" w:w="864"/>
          </w:tcPr>
          <w:p>
            <w:r>
              <w:rPr>
                <w:rFonts w:ascii="Calibri" w:hAnsi="Calibri" w:eastAsia="Calibri"/>
                <w:b/>
                <w:i w:val="0"/>
                <w:color w:val="2E74B5"/>
                <w:sz w:val="22"/>
              </w:rPr>
              <w:t>04</w:t>
            </w:r>
          </w:p>
        </w:tc>
        <w:tc>
          <w:tcPr>
            <w:tcW w:type="dxa" w:w="9936"/>
          </w:tcPr>
          <w:p>
            <w:r>
              <w:rPr>
                <w:rFonts w:ascii="Calibri" w:hAnsi="Calibri" w:eastAsia="Calibri"/>
                <w:b w:val="0"/>
                <w:i w:val="0"/>
                <w:sz w:val="22"/>
              </w:rPr>
              <w:t>Competitive Positioning</w:t>
            </w:r>
          </w:p>
        </w:tc>
      </w:tr>
      <w:tr>
        <w:tc>
          <w:tcPr>
            <w:tcW w:type="dxa" w:w="864"/>
          </w:tcPr>
          <w:p>
            <w:r>
              <w:rPr>
                <w:rFonts w:ascii="Calibri" w:hAnsi="Calibri" w:eastAsia="Calibri"/>
                <w:b/>
                <w:i w:val="0"/>
                <w:color w:val="2E74B5"/>
                <w:sz w:val="22"/>
              </w:rPr>
              <w:t>05</w:t>
            </w:r>
          </w:p>
        </w:tc>
        <w:tc>
          <w:tcPr>
            <w:tcW w:type="dxa" w:w="9936"/>
          </w:tcPr>
          <w:p>
            <w:r>
              <w:rPr>
                <w:rFonts w:ascii="Calibri" w:hAnsi="Calibri" w:eastAsia="Calibri"/>
                <w:b w:val="0"/>
                <w:i w:val="0"/>
                <w:sz w:val="22"/>
              </w:rPr>
              <w:t>Implementation Timeline</w:t>
            </w:r>
          </w:p>
        </w:tc>
      </w:tr>
      <w:tr>
        <w:tc>
          <w:tcPr>
            <w:tcW w:type="dxa" w:w="864"/>
          </w:tcPr>
          <w:p>
            <w:r>
              <w:rPr>
                <w:rFonts w:ascii="Calibri" w:hAnsi="Calibri" w:eastAsia="Calibri"/>
                <w:b/>
                <w:i w:val="0"/>
                <w:color w:val="2E74B5"/>
                <w:sz w:val="22"/>
              </w:rPr>
              <w:t>06</w:t>
            </w:r>
          </w:p>
        </w:tc>
        <w:tc>
          <w:tcPr>
            <w:tcW w:type="dxa" w:w="9936"/>
          </w:tcPr>
          <w:p>
            <w:r>
              <w:rPr>
                <w:rFonts w:ascii="Calibri" w:hAnsi="Calibri" w:eastAsia="Calibri"/>
                <w:b w:val="0"/>
                <w:i w:val="0"/>
                <w:sz w:val="22"/>
              </w:rPr>
              <w:t>Terms &amp; Conditions</w:t>
            </w:r>
          </w:p>
        </w:tc>
      </w:tr>
      <w:tr>
        <w:tc>
          <w:tcPr>
            <w:tcW w:type="dxa" w:w="864"/>
          </w:tcPr>
          <w:p>
            <w:r>
              <w:rPr>
                <w:rFonts w:ascii="Calibri" w:hAnsi="Calibri" w:eastAsia="Calibri"/>
                <w:b/>
                <w:i w:val="0"/>
                <w:color w:val="2E74B5"/>
                <w:sz w:val="22"/>
              </w:rPr>
              <w:t>07</w:t>
            </w:r>
          </w:p>
        </w:tc>
        <w:tc>
          <w:tcPr>
            <w:tcW w:type="dxa" w:w="9936"/>
          </w:tcPr>
          <w:p>
            <w:r>
              <w:rPr>
                <w:rFonts w:ascii="Calibri" w:hAnsi="Calibri" w:eastAsia="Calibri"/>
                <w:b w:val="0"/>
                <w:i w:val="0"/>
                <w:sz w:val="22"/>
              </w:rPr>
              <w:t>Next Steps</w:t>
            </w:r>
          </w:p>
        </w:tc>
      </w:tr>
    </w:tbl>
    <w:p>
      <w:pPr>
        <w:spacing w:after="200"/>
      </w:pPr>
    </w:p>
    <w:tbl>
      <w:tblPr>
        <w:tblW w:type="auto" w:w="0"/>
        <w:jc w:val="center"/>
        <w:tblLayout w:type="fixed"/>
        <w:tblLook w:firstColumn="1" w:firstRow="1" w:lastColumn="0" w:lastRow="0" w:noHBand="0" w:noVBand="1" w:val="04A0"/>
      </w:tblPr>
      <w:tblGrid>
        <w:gridCol w:w="5040"/>
        <w:gridCol w:w="5040"/>
      </w:tblGrid>
      <w:tr>
        <w:tc>
          <w:tcPr>
            <w:tcW w:type="dxa" w:w="5400"/>
            <w:shd w:val="clear" w:color="auto" w:fill="F2F2F2"/>
          </w:tcPr>
          <w:p>
            <w:r/>
            <w:r>
              <w:rPr>
                <w:rFonts w:ascii="Calibri" w:hAnsi="Calibri" w:eastAsia="Calibri"/>
                <w:b/>
                <w:i w:val="0"/>
                <w:sz w:val="20"/>
              </w:rPr>
              <w:t>Contact</w:t>
            </w:r>
          </w:p>
          <w:p>
            <w:r>
              <w:rPr>
                <w:rFonts w:ascii="Calibri" w:hAnsi="Calibri" w:eastAsia="Calibri"/>
                <w:b w:val="0"/>
                <w:i w:val="0"/>
                <w:sz w:val="20"/>
              </w:rPr>
              <w:t>13352 Kettle Camp Rd</w:t>
            </w:r>
          </w:p>
          <w:p>
            <w:r>
              <w:rPr>
                <w:rFonts w:ascii="Calibri" w:hAnsi="Calibri" w:eastAsia="Calibri"/>
                <w:b w:val="0"/>
                <w:i w:val="0"/>
                <w:sz w:val="20"/>
              </w:rPr>
              <w:t>Frisco, Texas 75035</w:t>
            </w:r>
          </w:p>
        </w:tc>
        <w:tc>
          <w:tcPr>
            <w:tcW w:type="dxa" w:w="5400"/>
            <w:shd w:val="clear" w:color="auto" w:fill="F2F2F2"/>
          </w:tcPr>
          <w:p>
            <w:pPr>
              <w:jc w:val="right"/>
            </w:pPr>
            <w:r/>
            <w:r>
              <w:rPr>
                <w:rFonts w:ascii="Calibri" w:hAnsi="Calibri" w:eastAsia="Calibri"/>
                <w:b w:val="0"/>
                <w:i w:val="0"/>
                <w:sz w:val="20"/>
              </w:rPr>
              <w:t>Phone: +917021950643</w:t>
            </w:r>
          </w:p>
          <w:p>
            <w:pPr>
              <w:jc w:val="right"/>
            </w:pPr>
            <w:r>
              <w:rPr>
                <w:rFonts w:ascii="Calibri" w:hAnsi="Calibri" w:eastAsia="Calibri"/>
                <w:b w:val="0"/>
                <w:i w:val="0"/>
                <w:sz w:val="20"/>
              </w:rPr>
              <w:t>www.orbitavanyatech.com</w:t>
            </w:r>
          </w:p>
        </w:tc>
      </w:tr>
      <w:tr>
        <w:tc>
          <w:tcPr>
            <w:tcW w:type="dxa" w:w="5400"/>
            <w:gridSpan w:val="2"/>
            <w:shd w:val="clear" w:color="auto" w:fill="D9D9D9"/>
          </w:tcPr>
          <w:p>
            <w:pPr>
              <w:spacing w:after="120"/>
            </w:pPr>
            <w:r/>
            <w:r>
              <w:rPr>
                <w:rFonts w:ascii="Calibri" w:hAnsi="Calibri" w:eastAsia="Calibri"/>
                <w:b w:val="0"/>
                <w:i w:val="0"/>
                <w:color w:val="595959"/>
                <w:sz w:val="17"/>
              </w:rPr>
              <w:t>This document contains proprietary and confidential information of OrbitAvanya Tech LLP and the recipient organization. It is submitted for the sole purpose of evaluating a potential business arrangement or technical contract engagement. No portion of this document may be reproduced, stored in a retrieval system, or transmitted in any form or by any means without prior written authorization from OrbitAvanya Tech LLP.</w:t>
            </w:r>
          </w:p>
        </w:tc>
      </w:tr>
    </w:tbl>
    <w:p>
      <w:r>
        <w:br w:type="page"/>
      </w:r>
    </w:p>
    <w:p>
      <w:r>
        <w:br w:type="page"/>
      </w:r>
    </w:p>
    <w:p>
      <w:pPr>
        <w:pStyle w:val="Heading1"/>
        <w:keepNext/>
        <w:spacing w:before="80" w:after="200"/>
        <w:pBdr>
          <w:bottom w:val="single" w:sz="10" w:space="4" w:color="2E74B5"/>
        </w:pBdr>
      </w:pPr>
      <w:r>
        <w:rPr>
          <w:rFonts w:ascii="Calibri" w:hAnsi="Calibri" w:eastAsia="Calibri"/>
          <w:b/>
          <w:i w:val="0"/>
          <w:color w:val="2E74B5"/>
          <w:sz w:val="34"/>
        </w:rPr>
        <w:t>1.0 Executive Summary</w:t>
      </w:r>
    </w:p>
    <w:p>
      <w:pPr>
        <w:spacing w:after="160"/>
        <w:jc w:val="both"/>
      </w:pPr>
      <w:r>
        <w:rPr>
          <w:rFonts w:ascii="Calibri" w:hAnsi="Calibri" w:eastAsia="Calibri"/>
          <w:b w:val="0"/>
          <w:i w:val="0"/>
          <w:sz w:val="22"/>
        </w:rPr>
        <w:t>This document serves as our formal response regarding the National Weather Service (NWS) solicitation for commercial landscaping and grounds maintenance services at the Weather Forecast Office in Jackson, MS. The requirement encompasses comprehensive grounds maintenance across approximately 3,000 square feet of property, including routine mowing, edging, weed control, debris removal, fertilization, pruning, and annual mulching over a base year and four option years.</w:t>
      </w:r>
    </w:p>
    <w:p>
      <w:pPr>
        <w:spacing w:after="160"/>
        <w:jc w:val="both"/>
      </w:pPr>
      <w:r>
        <w:rPr>
          <w:rFonts w:ascii="Calibri" w:hAnsi="Calibri" w:eastAsia="Calibri"/>
          <w:b w:val="0"/>
          <w:i w:val="0"/>
          <w:sz w:val="22"/>
        </w:rPr>
        <w:t>Our organization has thoroughly evaluated the solicitation requirements, site scope, and technical specifications outlined by the National Weather Service. Following a complete audit of our operational capabilities and service catalog, we note that our core business operations are specialized in software development, cloud infrastructure, artificial intelligence solutions, and mobile application engineering. We do not maintain in-house physical landscaping assets, commercial mowing equipment, or state-certified pesticide and herbicide applicator licenses.</w:t>
      </w:r>
    </w:p>
    <w:p>
      <w:pPr>
        <w:spacing w:after="160"/>
        <w:jc w:val="both"/>
      </w:pPr>
      <w:r>
        <w:rPr>
          <w:rFonts w:ascii="Calibri" w:hAnsi="Calibri" w:eastAsia="Calibri"/>
          <w:b w:val="0"/>
          <w:i w:val="0"/>
          <w:sz w:val="22"/>
        </w:rPr>
        <w:t>In accordance with standard federal procurement evaluation criteria under Lowest-Priced, Technically Acceptable (LPTA) guidelines and Small Business set-aside provisions, we present our response reflecting our catalog capability assessment and strategic positioning for this solicitation.</w:t>
      </w:r>
    </w:p>
    <w:p>
      <w:pPr>
        <w:pStyle w:val="Heading1"/>
        <w:keepNext/>
        <w:spacing w:before="80" w:after="200"/>
        <w:pBdr>
          <w:bottom w:val="single" w:sz="10" w:space="4" w:color="2E74B5"/>
        </w:pBdr>
      </w:pPr>
      <w:r>
        <w:rPr>
          <w:rFonts w:ascii="Calibri" w:hAnsi="Calibri" w:eastAsia="Calibri"/>
          <w:b/>
          <w:i w:val="0"/>
          <w:color w:val="2E74B5"/>
          <w:sz w:val="34"/>
        </w:rPr>
        <w:t>2.0 Scope of Work</w:t>
      </w:r>
    </w:p>
    <w:p>
      <w:pPr>
        <w:pStyle w:val="ListBullet"/>
        <w:spacing w:after="80"/>
      </w:pPr>
      <w:r>
        <w:rPr>
          <w:rFonts w:ascii="Calibri" w:hAnsi="Calibri" w:eastAsia="Calibri"/>
          <w:b w:val="0"/>
          <w:i w:val="0"/>
          <w:sz w:val="22"/>
        </w:rPr>
        <w:t>Mowing &amp; Edging across approximately 3,000 SQFT property area</w:t>
      </w:r>
    </w:p>
    <w:p>
      <w:pPr>
        <w:pStyle w:val="ListBullet"/>
        <w:spacing w:after="80"/>
      </w:pPr>
      <w:r>
        <w:rPr>
          <w:rFonts w:ascii="Calibri" w:hAnsi="Calibri" w:eastAsia="Calibri"/>
          <w:b w:val="0"/>
          <w:i w:val="0"/>
          <w:sz w:val="22"/>
        </w:rPr>
        <w:t>Grass &amp; Weed Trimming around fixed obstacles and structural perimeters</w:t>
      </w:r>
    </w:p>
    <w:p>
      <w:pPr>
        <w:pStyle w:val="ListBullet"/>
        <w:spacing w:after="80"/>
      </w:pPr>
      <w:r>
        <w:rPr>
          <w:rFonts w:ascii="Calibri" w:hAnsi="Calibri" w:eastAsia="Calibri"/>
          <w:b w:val="0"/>
          <w:i w:val="0"/>
          <w:sz w:val="22"/>
        </w:rPr>
        <w:t>Debris Removal &amp; Grounds Policing across all grounds</w:t>
      </w:r>
    </w:p>
    <w:p>
      <w:pPr>
        <w:pStyle w:val="ListBullet"/>
        <w:spacing w:after="80"/>
      </w:pPr>
      <w:r>
        <w:rPr>
          <w:rFonts w:ascii="Calibri" w:hAnsi="Calibri" w:eastAsia="Calibri"/>
          <w:b w:val="0"/>
          <w:i w:val="0"/>
          <w:sz w:val="22"/>
        </w:rPr>
        <w:t>Chemical Applications &amp; Weed Control including fertilizer, weed control, and fire ant treatments</w:t>
      </w:r>
    </w:p>
    <w:p>
      <w:pPr>
        <w:pStyle w:val="ListBullet"/>
        <w:spacing w:after="80"/>
      </w:pPr>
      <w:r>
        <w:rPr>
          <w:rFonts w:ascii="Calibri" w:hAnsi="Calibri" w:eastAsia="Calibri"/>
          <w:b w:val="0"/>
          <w:i w:val="0"/>
          <w:sz w:val="22"/>
        </w:rPr>
        <w:t>Pruning &amp; Mulching featuring annual mulch replacement and twice-yearly shrub/hedge pruning</w:t>
      </w:r>
    </w:p>
    <w:p>
      <w:pPr>
        <w:pStyle w:val="ListBullet"/>
        <w:spacing w:after="80"/>
      </w:pPr>
      <w:r>
        <w:rPr>
          <w:rFonts w:ascii="Calibri" w:hAnsi="Calibri" w:eastAsia="Calibri"/>
          <w:b w:val="0"/>
          <w:i w:val="0"/>
          <w:sz w:val="22"/>
        </w:rPr>
        <w:t>Secured Area Grounds Maintenance specifically targeting the Upper Air Building</w:t>
      </w:r>
    </w:p>
    <w:p>
      <w:pPr>
        <w:pStyle w:val="ListBullet"/>
        <w:spacing w:after="80"/>
      </w:pPr>
      <w:r>
        <w:rPr>
          <w:rFonts w:ascii="Calibri" w:hAnsi="Calibri" w:eastAsia="Calibri"/>
          <w:b w:val="0"/>
          <w:i w:val="0"/>
          <w:sz w:val="22"/>
        </w:rPr>
        <w:t>Maintenance and verification of State-certified pesticide/herbicide applicator licensing</w:t>
      </w:r>
    </w:p>
    <w:p>
      <w:pPr>
        <w:pStyle w:val="Heading1"/>
        <w:keepNext/>
        <w:spacing w:before="80" w:after="200"/>
        <w:pBdr>
          <w:bottom w:val="single" w:sz="10" w:space="4" w:color="2E74B5"/>
        </w:pBdr>
      </w:pPr>
      <w:r>
        <w:rPr>
          <w:rFonts w:ascii="Calibri" w:hAnsi="Calibri" w:eastAsia="Calibri"/>
          <w:b/>
          <w:i w:val="0"/>
          <w:color w:val="2E74B5"/>
          <w:sz w:val="34"/>
        </w:rPr>
        <w:t>3.0 Pricing</w:t>
      </w:r>
    </w:p>
    <w:p>
      <w:pPr>
        <w:spacing w:before="40" w:after="40"/>
      </w:pP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2E74B5"/>
          </w:tcPr>
          <w:p>
            <w:r/>
            <w:r>
              <w:rPr>
                <w:rFonts w:ascii="Calibri" w:hAnsi="Calibri" w:eastAsia="Calibri"/>
                <w:b/>
                <w:i w:val="0"/>
                <w:color w:val="FFFFFF"/>
                <w:sz w:val="21"/>
              </w:rPr>
              <w:t>Item</w:t>
            </w:r>
          </w:p>
        </w:tc>
        <w:tc>
          <w:tcPr>
            <w:tcW w:type="dxa" w:w="2016"/>
            <w:shd w:val="clear" w:color="auto" w:fill="2E74B5"/>
          </w:tcPr>
          <w:p>
            <w:r/>
            <w:r>
              <w:rPr>
                <w:rFonts w:ascii="Calibri" w:hAnsi="Calibri" w:eastAsia="Calibri"/>
                <w:b/>
                <w:i w:val="0"/>
                <w:color w:val="FFFFFF"/>
                <w:sz w:val="21"/>
              </w:rPr>
              <w:t>Description</w:t>
            </w:r>
          </w:p>
        </w:tc>
        <w:tc>
          <w:tcPr>
            <w:tcW w:type="dxa" w:w="2016"/>
            <w:shd w:val="clear" w:color="auto" w:fill="2E74B5"/>
          </w:tcPr>
          <w:p>
            <w:r/>
            <w:r>
              <w:rPr>
                <w:rFonts w:ascii="Calibri" w:hAnsi="Calibri" w:eastAsia="Calibri"/>
                <w:b/>
                <w:i w:val="0"/>
                <w:color w:val="FFFFFF"/>
                <w:sz w:val="21"/>
              </w:rPr>
              <w:t>Unit Price</w:t>
            </w:r>
          </w:p>
        </w:tc>
        <w:tc>
          <w:tcPr>
            <w:tcW w:type="dxa" w:w="2016"/>
            <w:shd w:val="clear" w:color="auto" w:fill="2E74B5"/>
          </w:tcPr>
          <w:p>
            <w:r/>
            <w:r>
              <w:rPr>
                <w:rFonts w:ascii="Calibri" w:hAnsi="Calibri" w:eastAsia="Calibri"/>
                <w:b/>
                <w:i w:val="0"/>
                <w:color w:val="FFFFFF"/>
                <w:sz w:val="21"/>
              </w:rPr>
              <w:t>Qty</w:t>
            </w:r>
          </w:p>
        </w:tc>
        <w:tc>
          <w:tcPr>
            <w:tcW w:type="dxa" w:w="2016"/>
            <w:shd w:val="clear" w:color="auto" w:fill="2E74B5"/>
          </w:tcPr>
          <w:p>
            <w:r/>
            <w:r>
              <w:rPr>
                <w:rFonts w:ascii="Calibri" w:hAnsi="Calibri" w:eastAsia="Calibri"/>
                <w:b/>
                <w:i w:val="0"/>
                <w:color w:val="FFFFFF"/>
                <w:sz w:val="21"/>
              </w:rPr>
              <w:t>Total</w:t>
            </w:r>
          </w:p>
        </w:tc>
      </w:tr>
      <w:tr>
        <w:tc>
          <w:tcPr>
            <w:tcW w:type="dxa" w:w="2016"/>
          </w:tcPr>
          <w:p>
            <w:r/>
            <w:r>
              <w:rPr>
                <w:rFonts w:ascii="Calibri" w:hAnsi="Calibri" w:eastAsia="Calibri"/>
                <w:b w:val="0"/>
                <w:i w:val="0"/>
                <w:sz w:val="20"/>
              </w:rPr>
              <w:t>Landscaping &amp; Lawn Care Services</w:t>
            </w:r>
          </w:p>
        </w:tc>
        <w:tc>
          <w:tcPr>
            <w:tcW w:type="dxa" w:w="2016"/>
          </w:tcPr>
          <w:p>
            <w:r/>
            <w:r>
              <w:rPr>
                <w:rFonts w:ascii="Calibri" w:hAnsi="Calibri" w:eastAsia="Calibri"/>
                <w:b w:val="0"/>
                <w:i w:val="0"/>
                <w:sz w:val="20"/>
              </w:rPr>
              <w:t>Commercial grounds maintenance and landscaping (Base Year + 4 Option Years)</w:t>
            </w:r>
          </w:p>
        </w:tc>
        <w:tc>
          <w:tcPr>
            <w:tcW w:type="dxa" w:w="2016"/>
          </w:tcPr>
          <w:p>
            <w:r/>
            <w:r>
              <w:rPr>
                <w:rFonts w:ascii="Calibri" w:hAnsi="Calibri" w:eastAsia="Calibri"/>
                <w:b w:val="0"/>
                <w:i w:val="0"/>
                <w:sz w:val="20"/>
              </w:rPr>
              <w:t>Not listed</w:t>
            </w:r>
          </w:p>
        </w:tc>
        <w:tc>
          <w:tcPr>
            <w:tcW w:type="dxa" w:w="2016"/>
          </w:tcPr>
          <w:p>
            <w:r/>
            <w:r>
              <w:rPr>
                <w:rFonts w:ascii="Calibri" w:hAnsi="Calibri" w:eastAsia="Calibri"/>
                <w:b w:val="0"/>
                <w:i w:val="0"/>
                <w:sz w:val="20"/>
              </w:rPr>
              <w:t>1</w:t>
            </w:r>
          </w:p>
        </w:tc>
        <w:tc>
          <w:tcPr>
            <w:tcW w:type="dxa" w:w="2016"/>
          </w:tcPr>
          <w:p>
            <w:r/>
            <w:r>
              <w:rPr>
                <w:rFonts w:ascii="Calibri" w:hAnsi="Calibri" w:eastAsia="Calibri"/>
                <w:b w:val="0"/>
                <w:i w:val="0"/>
                <w:sz w:val="20"/>
              </w:rPr>
              <w:t>Not listed</w:t>
            </w:r>
          </w:p>
        </w:tc>
      </w:tr>
    </w:tbl>
    <w:p>
      <w:pPr>
        <w:spacing w:after="120"/>
      </w:pPr>
    </w:p>
    <w:p>
      <w:pPr>
        <w:pStyle w:val="Heading1"/>
        <w:keepNext/>
        <w:spacing w:before="80" w:after="200"/>
        <w:pBdr>
          <w:bottom w:val="single" w:sz="10" w:space="4" w:color="2E74B5"/>
        </w:pBdr>
      </w:pPr>
      <w:r>
        <w:rPr>
          <w:rFonts w:ascii="Calibri" w:hAnsi="Calibri" w:eastAsia="Calibri"/>
          <w:b/>
          <w:i w:val="0"/>
          <w:color w:val="2E74B5"/>
          <w:sz w:val="34"/>
        </w:rPr>
        <w:t>4.0 Competitive Positioning</w:t>
      </w:r>
    </w:p>
    <w:p>
      <w:pPr>
        <w:spacing w:after="160"/>
        <w:jc w:val="both"/>
      </w:pPr>
      <w:r>
        <w:rPr>
          <w:rFonts w:ascii="Calibri" w:hAnsi="Calibri" w:eastAsia="Calibri"/>
          <w:b w:val="0"/>
          <w:i w:val="0"/>
          <w:sz w:val="22"/>
        </w:rPr>
        <w:t>Federal acquisitions evaluated on a Lowest-Priced, Technically Acceptable (LPTA) basis require strict adherence to technical qualifications, regulatory licensing, and demonstrated capability. Grounds maintenance at a weather forecast facility demands continuous, high-standard physical presence, specialized lawn care equipment, and certified chemical handling procedures to ensure uninterrupted operational access and professional site presentation.</w:t>
      </w:r>
    </w:p>
    <w:p>
      <w:pPr>
        <w:spacing w:after="160"/>
        <w:jc w:val="both"/>
      </w:pPr>
      <w:r>
        <w:rPr>
          <w:rFonts w:ascii="Calibri" w:hAnsi="Calibri" w:eastAsia="Calibri"/>
          <w:b w:val="0"/>
          <w:i w:val="0"/>
          <w:sz w:val="22"/>
        </w:rPr>
        <w:t>To meet technical acceptability standards without reservation, prime vendors must possess direct operational infrastructure or established subcontracting frameworks with licensed applicator personnel. Service providers focused on digital transformation and IT operations lack the specialized physical infrastructure required to execute manual groundskeeping services directly, ensuring that specialized commercial grounds maintenance providers maintain optimal positioning for direct award under this set-aside opportunity.</w:t>
      </w:r>
    </w:p>
    <w:p>
      <w:pPr>
        <w:pStyle w:val="Heading1"/>
        <w:keepNext/>
        <w:spacing w:before="80" w:after="200"/>
        <w:pBdr>
          <w:bottom w:val="single" w:sz="10" w:space="4" w:color="2E74B5"/>
        </w:pBdr>
      </w:pPr>
      <w:r>
        <w:rPr>
          <w:rFonts w:ascii="Calibri" w:hAnsi="Calibri" w:eastAsia="Calibri"/>
          <w:b/>
          <w:i w:val="0"/>
          <w:color w:val="2E74B5"/>
          <w:sz w:val="34"/>
        </w:rPr>
        <w:t>5.0 Implementation Timeline</w:t>
      </w:r>
    </w:p>
    <w:p>
      <w:pPr>
        <w:spacing w:before="40" w:after="40"/>
      </w:pPr>
    </w:p>
    <w:tbl>
      <w:tblPr>
        <w:tblStyle w:val="TableGrid"/>
        <w:tblW w:type="auto" w:w="0"/>
        <w:jc w:val="center"/>
        <w:tblLook w:firstColumn="1" w:firstRow="1" w:lastColumn="0" w:lastRow="0" w:noHBand="0" w:noVBand="1" w:val="04A0"/>
      </w:tblPr>
      <w:tblGrid>
        <w:gridCol w:w="3360"/>
        <w:gridCol w:w="3360"/>
        <w:gridCol w:w="3360"/>
      </w:tblGrid>
      <w:tr>
        <w:tc>
          <w:tcPr>
            <w:tcW w:type="dxa" w:w="3360"/>
            <w:shd w:val="clear" w:color="auto" w:fill="2E74B5"/>
          </w:tcPr>
          <w:p>
            <w:r/>
            <w:r>
              <w:rPr>
                <w:rFonts w:ascii="Calibri" w:hAnsi="Calibri" w:eastAsia="Calibri"/>
                <w:b/>
                <w:i w:val="0"/>
                <w:color w:val="FFFFFF"/>
                <w:sz w:val="21"/>
              </w:rPr>
              <w:t>Phase</w:t>
            </w:r>
          </w:p>
        </w:tc>
        <w:tc>
          <w:tcPr>
            <w:tcW w:type="dxa" w:w="3360"/>
            <w:shd w:val="clear" w:color="auto" w:fill="2E74B5"/>
          </w:tcPr>
          <w:p>
            <w:r/>
            <w:r>
              <w:rPr>
                <w:rFonts w:ascii="Calibri" w:hAnsi="Calibri" w:eastAsia="Calibri"/>
                <w:b/>
                <w:i w:val="0"/>
                <w:color w:val="FFFFFF"/>
                <w:sz w:val="21"/>
              </w:rPr>
              <w:t>Duration</w:t>
            </w:r>
          </w:p>
        </w:tc>
        <w:tc>
          <w:tcPr>
            <w:tcW w:type="dxa" w:w="3360"/>
            <w:shd w:val="clear" w:color="auto" w:fill="2E74B5"/>
          </w:tcPr>
          <w:p>
            <w:r/>
            <w:r>
              <w:rPr>
                <w:rFonts w:ascii="Calibri" w:hAnsi="Calibri" w:eastAsia="Calibri"/>
                <w:b/>
                <w:i w:val="0"/>
                <w:color w:val="FFFFFF"/>
                <w:sz w:val="21"/>
              </w:rPr>
              <w:t>Focus</w:t>
            </w:r>
          </w:p>
        </w:tc>
      </w:tr>
      <w:tr>
        <w:tc>
          <w:tcPr>
            <w:tcW w:type="dxa" w:w="3360"/>
          </w:tcPr>
          <w:p>
            <w:r/>
            <w:r>
              <w:rPr>
                <w:rFonts w:ascii="Calibri" w:hAnsi="Calibri" w:eastAsia="Calibri"/>
                <w:b w:val="0"/>
                <w:i w:val="0"/>
                <w:sz w:val="20"/>
              </w:rPr>
              <w:t>Phase 1: Mobilization &amp; Site Transition</w:t>
            </w:r>
          </w:p>
        </w:tc>
        <w:tc>
          <w:tcPr>
            <w:tcW w:type="dxa" w:w="3360"/>
          </w:tcPr>
          <w:p>
            <w:r/>
            <w:r>
              <w:rPr>
                <w:rFonts w:ascii="Calibri" w:hAnsi="Calibri" w:eastAsia="Calibri"/>
                <w:b w:val="0"/>
                <w:i w:val="0"/>
                <w:sz w:val="20"/>
              </w:rPr>
              <w:t>Base Year Start</w:t>
            </w:r>
          </w:p>
        </w:tc>
        <w:tc>
          <w:tcPr>
            <w:tcW w:type="dxa" w:w="3360"/>
          </w:tcPr>
          <w:p>
            <w:r/>
            <w:r>
              <w:rPr>
                <w:rFonts w:ascii="Calibri" w:hAnsi="Calibri" w:eastAsia="Calibri"/>
                <w:b w:val="0"/>
                <w:i w:val="0"/>
                <w:sz w:val="20"/>
              </w:rPr>
              <w:t>Initial site inspection, equipment staging, and security access coordination at the Weather Forecast Office.</w:t>
            </w:r>
          </w:p>
        </w:tc>
      </w:tr>
      <w:tr>
        <w:tc>
          <w:tcPr>
            <w:tcW w:type="dxa" w:w="3360"/>
            <w:shd w:val="clear" w:color="auto" w:fill="F9F9F9"/>
          </w:tcPr>
          <w:p>
            <w:r/>
            <w:r>
              <w:rPr>
                <w:rFonts w:ascii="Calibri" w:hAnsi="Calibri" w:eastAsia="Calibri"/>
                <w:b w:val="0"/>
                <w:i w:val="0"/>
                <w:sz w:val="20"/>
              </w:rPr>
              <w:t>Phase 2: Base Year Service Execution</w:t>
            </w:r>
          </w:p>
        </w:tc>
        <w:tc>
          <w:tcPr>
            <w:tcW w:type="dxa" w:w="3360"/>
            <w:shd w:val="clear" w:color="auto" w:fill="F9F9F9"/>
          </w:tcPr>
          <w:p>
            <w:r/>
            <w:r>
              <w:rPr>
                <w:rFonts w:ascii="Calibri" w:hAnsi="Calibri" w:eastAsia="Calibri"/>
                <w:b w:val="0"/>
                <w:i w:val="0"/>
                <w:sz w:val="20"/>
              </w:rPr>
              <w:t>12 Months</w:t>
            </w:r>
          </w:p>
        </w:tc>
        <w:tc>
          <w:tcPr>
            <w:tcW w:type="dxa" w:w="3360"/>
            <w:shd w:val="clear" w:color="auto" w:fill="F9F9F9"/>
          </w:tcPr>
          <w:p>
            <w:r/>
            <w:r>
              <w:rPr>
                <w:rFonts w:ascii="Calibri" w:hAnsi="Calibri" w:eastAsia="Calibri"/>
                <w:b w:val="0"/>
                <w:i w:val="0"/>
                <w:sz w:val="20"/>
              </w:rPr>
              <w:t>Routine mowing, edging, debris removal, seasonal pruning, mulching, and chemical applications.</w:t>
            </w:r>
          </w:p>
        </w:tc>
      </w:tr>
      <w:tr>
        <w:tc>
          <w:tcPr>
            <w:tcW w:type="dxa" w:w="3360"/>
          </w:tcPr>
          <w:p>
            <w:r/>
            <w:r>
              <w:rPr>
                <w:rFonts w:ascii="Calibri" w:hAnsi="Calibri" w:eastAsia="Calibri"/>
                <w:b w:val="0"/>
                <w:i w:val="0"/>
                <w:sz w:val="20"/>
              </w:rPr>
              <w:t>Phase 3: Option Years Performance</w:t>
            </w:r>
          </w:p>
        </w:tc>
        <w:tc>
          <w:tcPr>
            <w:tcW w:type="dxa" w:w="3360"/>
          </w:tcPr>
          <w:p>
            <w:r/>
            <w:r>
              <w:rPr>
                <w:rFonts w:ascii="Calibri" w:hAnsi="Calibri" w:eastAsia="Calibri"/>
                <w:b w:val="0"/>
                <w:i w:val="0"/>
                <w:sz w:val="20"/>
              </w:rPr>
              <w:t>4 Option Years</w:t>
            </w:r>
          </w:p>
        </w:tc>
        <w:tc>
          <w:tcPr>
            <w:tcW w:type="dxa" w:w="3360"/>
          </w:tcPr>
          <w:p>
            <w:r/>
            <w:r>
              <w:rPr>
                <w:rFonts w:ascii="Calibri" w:hAnsi="Calibri" w:eastAsia="Calibri"/>
                <w:b w:val="0"/>
                <w:i w:val="0"/>
                <w:sz w:val="20"/>
              </w:rPr>
              <w:t>Annual renewal options for ongoing grounds maintenance, weed control, and secured area servicing.</w:t>
            </w:r>
          </w:p>
        </w:tc>
      </w:tr>
    </w:tbl>
    <w:p>
      <w:pPr>
        <w:spacing w:after="120"/>
      </w:pPr>
    </w:p>
    <w:p>
      <w:pPr>
        <w:pStyle w:val="Heading1"/>
        <w:keepNext/>
        <w:spacing w:before="80" w:after="200"/>
        <w:pBdr>
          <w:bottom w:val="single" w:sz="10" w:space="4" w:color="2E74B5"/>
        </w:pBdr>
      </w:pPr>
      <w:r>
        <w:rPr>
          <w:rFonts w:ascii="Calibri" w:hAnsi="Calibri" w:eastAsia="Calibri"/>
          <w:b/>
          <w:i w:val="0"/>
          <w:color w:val="2E74B5"/>
          <w:sz w:val="34"/>
        </w:rPr>
        <w:t>6.0 Terms &amp; Conditions</w:t>
      </w:r>
    </w:p>
    <w:p>
      <w:pPr>
        <w:pStyle w:val="ListBullet"/>
        <w:spacing w:after="80"/>
      </w:pPr>
      <w:r>
        <w:rPr>
          <w:rFonts w:ascii="Calibri" w:hAnsi="Calibri" w:eastAsia="Calibri"/>
          <w:b w:val="0"/>
          <w:i w:val="0"/>
          <w:sz w:val="22"/>
        </w:rPr>
        <w:t>Contract Structure: Base year with four (4) one-year option periods</w:t>
      </w:r>
    </w:p>
    <w:p>
      <w:pPr>
        <w:pStyle w:val="ListBullet"/>
        <w:spacing w:after="80"/>
      </w:pPr>
      <w:r>
        <w:rPr>
          <w:rFonts w:ascii="Calibri" w:hAnsi="Calibri" w:eastAsia="Calibri"/>
          <w:b w:val="0"/>
          <w:i w:val="0"/>
          <w:sz w:val="22"/>
        </w:rPr>
        <w:t>Evaluation Criteria: Lowest-Priced, Technically Acceptable (LPTA)</w:t>
      </w:r>
    </w:p>
    <w:p>
      <w:pPr>
        <w:pStyle w:val="ListBullet"/>
        <w:spacing w:after="80"/>
      </w:pPr>
      <w:r>
        <w:rPr>
          <w:rFonts w:ascii="Calibri" w:hAnsi="Calibri" w:eastAsia="Calibri"/>
          <w:b w:val="0"/>
          <w:i w:val="0"/>
          <w:sz w:val="22"/>
        </w:rPr>
        <w:t>Set-Aside Eligibility: Total Small Business Set-Aside requiring active SAM registration</w:t>
      </w:r>
    </w:p>
    <w:p>
      <w:pPr>
        <w:pStyle w:val="ListBullet"/>
        <w:spacing w:after="80"/>
      </w:pPr>
      <w:r>
        <w:rPr>
          <w:rFonts w:ascii="Calibri" w:hAnsi="Calibri" w:eastAsia="Calibri"/>
          <w:b w:val="0"/>
          <w:i w:val="0"/>
          <w:sz w:val="22"/>
        </w:rPr>
        <w:t>Licensing Requirement: Valid state-certified pesticide/herbicide applicator licensing required</w:t>
      </w:r>
    </w:p>
    <w:p>
      <w:pPr>
        <w:pStyle w:val="ListBullet"/>
        <w:spacing w:after="80"/>
      </w:pPr>
      <w:r>
        <w:rPr>
          <w:rFonts w:ascii="Calibri" w:hAnsi="Calibri" w:eastAsia="Calibri"/>
          <w:b w:val="0"/>
          <w:i w:val="0"/>
          <w:sz w:val="22"/>
        </w:rPr>
        <w:t>Pricing Basis: Pricing strategy reflects Catalog Option 0 (Not listed / Formal Declination)</w:t>
      </w:r>
    </w:p>
    <w:p>
      <w:pPr>
        <w:pStyle w:val="Heading1"/>
        <w:keepNext/>
        <w:spacing w:before="80" w:after="200"/>
        <w:pBdr>
          <w:bottom w:val="single" w:sz="10" w:space="4" w:color="2E74B5"/>
        </w:pBdr>
      </w:pPr>
      <w:r>
        <w:rPr>
          <w:rFonts w:ascii="Calibri" w:hAnsi="Calibri" w:eastAsia="Calibri"/>
          <w:b/>
          <w:i w:val="0"/>
          <w:color w:val="2E74B5"/>
          <w:sz w:val="34"/>
        </w:rPr>
        <w:t>7.0 Next Steps</w:t>
      </w:r>
    </w:p>
    <w:p>
      <w:pPr>
        <w:spacing w:after="160"/>
        <w:jc w:val="both"/>
      </w:pPr>
      <w:r>
        <w:rPr>
          <w:rFonts w:ascii="Calibri" w:hAnsi="Calibri" w:eastAsia="Calibri"/>
          <w:b w:val="0"/>
          <w:i w:val="0"/>
          <w:sz w:val="22"/>
        </w:rPr>
        <w:t>Acknowledge receipt of solicitation details and maintain record of small business capability assessment for future federal agency procurement opportunities aligned with IT, cloud, and digital services.</w:t>
      </w:r>
    </w:p>
    <w:p>
      <w:pPr>
        <w:spacing w:before="240"/>
      </w:pPr>
      <w:r>
        <w:rPr>
          <w:rFonts w:ascii="Calibri" w:hAnsi="Calibri" w:eastAsia="Calibri"/>
          <w:b w:val="0"/>
          <w:i w:val="0"/>
          <w:sz w:val="22"/>
        </w:rPr>
        <w:t>Respectfully,</w:t>
        <w:br/>
        <w:br/>
      </w:r>
      <w:r>
        <w:rPr>
          <w:rFonts w:ascii="Calibri" w:hAnsi="Calibri" w:eastAsia="Calibri"/>
          <w:b/>
          <w:i w:val="0"/>
          <w:sz w:val="22"/>
        </w:rPr>
        <w:t>Ranjeet Kumar Singh</w:t>
      </w:r>
    </w:p>
    <w:p>
      <w:pPr>
        <w:spacing w:after="0"/>
      </w:pPr>
      <w:r>
        <w:rPr>
          <w:rFonts w:ascii="Calibri" w:hAnsi="Calibri" w:eastAsia="Calibri"/>
          <w:b w:val="0"/>
          <w:i w:val="0"/>
          <w:sz w:val="22"/>
        </w:rPr>
        <w:t>Founder &amp; CEO</w:t>
      </w:r>
    </w:p>
    <w:p>
      <w:pPr>
        <w:spacing w:after="0"/>
      </w:pPr>
      <w:r>
        <w:rPr>
          <w:rFonts w:ascii="Calibri" w:hAnsi="Calibri" w:eastAsia="Calibri"/>
          <w:b w:val="0"/>
          <w:i w:val="0"/>
          <w:sz w:val="22"/>
        </w:rPr>
        <w:t>OrbitAvanya Tech LLP (AvanyaEdge)</w:t>
      </w:r>
    </w:p>
    <w:sectPr w:rsidR="00FC693F" w:rsidRPr="0006063C" w:rsidSect="00034616">
      <w:headerReference w:type="first" r:id="rId9"/>
      <w:footerReference w:type="first" r:id="rId10"/>
      <w:headerReference w:type="default" r:id="rId11"/>
      <w:footerReference w:type="default" r:id="rId12"/>
      <w:pgSz w:w="12240" w:h="15840"/>
      <w:pgMar w:top="1296" w:right="1080" w:bottom="1296"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5400"/>
      <w:gridCol w:w="5400"/>
    </w:tblGrid>
    <w:tr>
      <w:tc>
        <w:tcPr>
          <w:tcW w:type="dxa" w:w="5400"/>
        </w:tcPr>
        <w:p>
          <w: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
                        <a:stretch>
                          <a:fillRect/>
                        </a:stretch>
                      </pic:blipFill>
                      <pic:spPr>
                        <a:xfrm>
                          <a:off x="0" y="0"/>
                          <a:ext cx="1005840" cy="375506"/>
                        </a:xfrm>
                        <a:prstGeom prst="rect"/>
                      </pic:spPr>
                    </pic:pic>
                  </a:graphicData>
                </a:graphic>
              </wp:inline>
            </w:drawing>
          </w:r>
        </w:p>
        <w:p>
          <w:r>
            <w:rPr>
              <w:rFonts w:ascii="Calibri" w:hAnsi="Calibri" w:eastAsia="Calibri"/>
              <w:b w:val="0"/>
              <w:i w:val="0"/>
              <w:sz w:val="16"/>
            </w:rPr>
            <w:t xml:space="preserve">Page </w:t>
          </w:r>
          <w:r>
            <w:fldChar w:fldCharType="begin"/>
          </w:r>
          <w:r>
            <w:instrText xml:space="preserve"> PAGE </w:instrText>
          </w:r>
          <w:r>
            <w:fldChar w:fldCharType="end"/>
          </w:r>
          <w:r>
            <w:rPr>
              <w:rFonts w:ascii="Calibri" w:hAnsi="Calibri" w:eastAsia="Calibri"/>
              <w:b w:val="0"/>
              <w:i w:val="0"/>
              <w:sz w:val="16"/>
            </w:rPr>
            <w:t xml:space="preserve"> of </w:t>
          </w:r>
          <w:r>
            <w:fldChar w:fldCharType="begin"/>
          </w:r>
          <w:r>
            <w:instrText xml:space="preserve"> NUMPAGES </w:instrText>
          </w:r>
          <w:r>
            <w:fldChar w:fldCharType="end"/>
          </w:r>
        </w:p>
      </w:tc>
      <w:tc>
        <w:tcPr>
          <w:tcW w:type="dxa" w:w="5400"/>
        </w:tcPr>
        <w:p>
          <w:pPr>
            <w:jc w:val="right"/>
          </w:pPr>
          <w:r/>
          <w:r>
            <w:rPr>
              <w:rFonts w:ascii="Calibri" w:hAnsi="Calibri" w:eastAsia="Calibri"/>
              <w:b w:val="0"/>
              <w:i w:val="0"/>
              <w:color w:val="595959"/>
              <w:sz w:val="16"/>
            </w:rPr>
            <w:t>OrbitAvanya Tech LLP</w:t>
            <w:br/>
          </w:r>
          <w:r>
            <w:rPr>
              <w:rFonts w:ascii="Calibri" w:hAnsi="Calibri" w:eastAsia="Calibri"/>
              <w:b w:val="0"/>
              <w:i w:val="0"/>
              <w:color w:val="595959"/>
              <w:sz w:val="20"/>
            </w:rPr>
            <w:t>www.orbitavanyatech.com</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375506"/>
          <wp:docPr id="1" name="Picture 1"/>
          <wp:cNvGraphicFramePr>
            <a:graphicFrameLocks noChangeAspect="1"/>
          </wp:cNvGraphicFramePr>
          <a:graphic>
            <a:graphicData uri="http://schemas.openxmlformats.org/drawingml/2006/picture">
              <pic:pic>
                <pic:nvPicPr>
                  <pic:cNvPr id="0" name="WK_T360_Proposal_-_September_11__2024_extracted_logo.png"/>
                  <pic:cNvPicPr/>
                </pic:nvPicPr>
                <pic:blipFill>
                  <a:blip r:embed="rId1"/>
                  <a:stretch>
                    <a:fillRect/>
                  </a:stretch>
                </pic:blipFill>
                <pic:spPr>
                  <a:xfrm>
                    <a:off x="0" y="0"/>
                    <a:ext cx="1005840" cy="37550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400"/>
      <w:gridCol w:w="5400"/>
    </w:tblGrid>
    <w:tr>
      <w:tc>
        <w:tcPr>
          <w:tcW w:type="dxa" w:w="5400"/>
        </w:tcPr>
        <w:p>
          <w:r/>
          <w:r>
            <w:rPr>
              <w:rFonts w:ascii="Calibri" w:hAnsi="Calibri" w:eastAsia="Calibri"/>
              <w:b w:val="0"/>
              <w:i w:val="0"/>
              <w:sz w:val="20"/>
            </w:rPr>
            <w:t>Customer</w:t>
            <w:br/>
          </w:r>
          <w:r>
            <w:rPr>
              <w:rFonts w:ascii="Calibri" w:hAnsi="Calibri" w:eastAsia="Calibri"/>
              <w:b/>
              <w:i w:val="0"/>
              <w:sz w:val="20"/>
            </w:rPr>
            <w:t>National Oceanic and Atmospheric Administration (NOAA) / National Weather Service (NWS)</w:t>
          </w:r>
        </w:p>
      </w:tc>
      <w:tc>
        <w:tcPr>
          <w:tcW w:type="dxa" w:w="5400"/>
        </w:tcPr>
        <w:p>
          <w:pPr>
            <w:jc w:val="right"/>
          </w:pPr>
          <w:r/>
          <w:r>
            <w:rPr>
              <w:rFonts w:ascii="Calibri" w:hAnsi="Calibri" w:eastAsia="Calibri"/>
              <w:b/>
              <w:i w:val="0"/>
              <w:sz w:val="20"/>
            </w:rPr>
            <w:t>Proposal</w:t>
            <w:br/>
          </w:r>
          <w:r>
            <w:rPr>
              <w:rFonts w:ascii="Calibri" w:hAnsi="Calibri" w:eastAsia="Calibri"/>
              <w:b w:val="0"/>
              <w:i w:val="0"/>
              <w:sz w:val="16"/>
            </w:rPr>
            <w:t>OrbitAvanya Tech LLP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ompat>
    <w:compatSetting w:name="useWord2013TrackBottomHyphenation" w:uri="http://schemas.microsoft.com/office/word" w:val="0"/>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