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5943600" cy="5210299"/>
            <wp:docPr id="1" name="Picture 1"/>
            <wp:cNvGraphicFramePr>
              <a:graphicFrameLocks noChangeAspect="1"/>
            </wp:cNvGraphicFramePr>
            <a:graphic>
              <a:graphicData uri="http://schemas.openxmlformats.org/drawingml/2006/picture">
                <pic:pic>
                  <pic:nvPicPr>
                    <pic:cNvPr id="0" name="WK_T360_Proposal_-_September_11__2024_extracted_logo.png"/>
                    <pic:cNvPicPr/>
                  </pic:nvPicPr>
                  <pic:blipFill>
                    <a:blip r:embed="rId13"/>
                    <a:stretch>
                      <a:fillRect/>
                    </a:stretch>
                  </pic:blipFill>
                  <pic:spPr>
                    <a:xfrm>
                      <a:off x="0" y="0"/>
                      <a:ext cx="5943600" cy="5210299"/>
                    </a:xfrm>
                    <a:prstGeom prst="rect"/>
                  </pic:spPr>
                </pic:pic>
              </a:graphicData>
            </a:graphic>
          </wp:inline>
        </w:drawing>
      </w:r>
    </w:p>
    <w:p>
      <w:pPr>
        <w:spacing w:after="120"/>
        <w:jc w:val="center"/>
      </w:pPr>
      <w:r>
        <w:rPr>
          <w:rFonts w:ascii="Calibri" w:hAnsi="Calibri" w:eastAsia="Calibri"/>
          <w:b/>
          <w:i w:val="0"/>
          <w:color w:val="2E74B5"/>
          <w:sz w:val="56"/>
        </w:rPr>
        <w:t>RFP Response Proposal</w:t>
      </w:r>
    </w:p>
    <w:p>
      <w:pPr>
        <w:spacing w:after="400"/>
        <w:jc w:val="center"/>
      </w:pPr>
      <w:r>
        <w:rPr>
          <w:rFonts w:ascii="Calibri" w:hAnsi="Calibri" w:eastAsia="Calibri"/>
          <w:b w:val="0"/>
          <w:i w:val="0"/>
          <w:sz w:val="28"/>
        </w:rPr>
        <w:t>Technical &amp; Pricing Proposal</w:t>
      </w:r>
    </w:p>
    <w:p>
      <w:pPr>
        <w:jc w:val="center"/>
      </w:pPr>
      <w:r>
        <w:rPr>
          <w:rFonts w:ascii="Calibri" w:hAnsi="Calibri" w:eastAsia="Calibri"/>
          <w:b w:val="0"/>
          <w:i w:val="0"/>
          <w:color w:val="595959"/>
          <w:sz w:val="19"/>
        </w:rPr>
        <w:t>Prepared for: National Weather Service (NWS)</w:t>
      </w:r>
      <w:r>
        <w:rPr>
          <w:rFonts w:ascii="Calibri" w:hAnsi="Calibri" w:eastAsia="Calibri"/>
          <w:b w:val="0"/>
          <w:i w:val="0"/>
          <w:color w:val="595959"/>
          <w:sz w:val="19"/>
        </w:rPr>
        <w:t xml:space="preserve">  |  </w:t>
      </w:r>
      <w:r>
        <w:rPr>
          <w:rFonts w:ascii="Calibri" w:hAnsi="Calibri" w:eastAsia="Calibri"/>
          <w:b w:val="0"/>
          <w:i w:val="0"/>
          <w:color w:val="595959"/>
          <w:sz w:val="19"/>
        </w:rPr>
        <w:t>Prepared by: Ranjeet Kumar — Founder &amp; CEO, OrbitAvanya Tech LLP (AvanyaEdge)</w:t>
      </w:r>
      <w:r>
        <w:rPr>
          <w:rFonts w:ascii="Calibri" w:hAnsi="Calibri" w:eastAsia="Calibri"/>
          <w:b w:val="0"/>
          <w:i w:val="0"/>
          <w:color w:val="595959"/>
          <w:sz w:val="19"/>
        </w:rPr>
        <w:t xml:space="preserve">  |  </w:t>
      </w:r>
      <w:r>
        <w:rPr>
          <w:rFonts w:ascii="Calibri" w:hAnsi="Calibri" w:eastAsia="Calibri"/>
          <w:b w:val="0"/>
          <w:i w:val="0"/>
          <w:color w:val="595959"/>
          <w:sz w:val="19"/>
        </w:rPr>
        <w:t>Engagement Reference: OAT-BIDFORGE-20260722</w:t>
      </w:r>
      <w:r>
        <w:rPr>
          <w:rFonts w:ascii="Calibri" w:hAnsi="Calibri" w:eastAsia="Calibri"/>
          <w:b w:val="0"/>
          <w:i w:val="0"/>
          <w:color w:val="595959"/>
          <w:sz w:val="19"/>
        </w:rPr>
        <w:t xml:space="preserve">  |  </w:t>
      </w:r>
      <w:r>
        <w:rPr>
          <w:rFonts w:ascii="Calibri" w:hAnsi="Calibri" w:eastAsia="Calibri"/>
          <w:b w:val="0"/>
          <w:i w:val="0"/>
          <w:color w:val="595959"/>
          <w:sz w:val="19"/>
        </w:rPr>
        <w:t>Proposal Date: July 22, 2026</w:t>
      </w:r>
      <w:r>
        <w:rPr>
          <w:rFonts w:ascii="Calibri" w:hAnsi="Calibri" w:eastAsia="Calibri"/>
          <w:b w:val="0"/>
          <w:i w:val="0"/>
          <w:color w:val="595959"/>
          <w:sz w:val="19"/>
        </w:rPr>
        <w:t xml:space="preserve">  |  </w:t>
      </w:r>
      <w:r>
        <w:rPr>
          <w:rFonts w:ascii="Calibri" w:hAnsi="Calibri" w:eastAsia="Calibri"/>
          <w:b w:val="0"/>
          <w:i w:val="0"/>
          <w:color w:val="595959"/>
          <w:sz w:val="19"/>
        </w:rPr>
        <w:t>Validity: 90 days from proposal date</w:t>
      </w:r>
    </w:p>
    <w:p>
      <w:r>
        <w:br w:type="page"/>
      </w:r>
    </w:p>
    <w:p>
      <w:pPr>
        <w:spacing w:after="200"/>
      </w:pPr>
      <w:r>
        <w:rPr>
          <w:rFonts w:ascii="Calibri" w:hAnsi="Calibri" w:eastAsia="Calibri"/>
          <w:b/>
          <w:i w:val="0"/>
          <w:color w:val="2E74B5"/>
          <w:sz w:val="40"/>
        </w:rPr>
        <w:t>Content</w:t>
      </w:r>
    </w:p>
    <w:tbl>
      <w:tblPr>
        <w:tblW w:type="auto" w:w="0"/>
        <w:jc w:val="left"/>
        <w:tblLayout w:type="fixed"/>
        <w:tblLook w:firstColumn="1" w:firstRow="1" w:lastColumn="0" w:lastRow="0" w:noHBand="0" w:noVBand="1" w:val="04A0"/>
      </w:tblPr>
      <w:tblGrid>
        <w:gridCol w:w="5040"/>
        <w:gridCol w:w="5040"/>
      </w:tblGrid>
      <w:tr>
        <w:tc>
          <w:tcPr>
            <w:tcW w:type="dxa" w:w="864"/>
          </w:tcPr>
          <w:p>
            <w:r>
              <w:rPr>
                <w:rFonts w:ascii="Calibri" w:hAnsi="Calibri" w:eastAsia="Calibri"/>
                <w:b/>
                <w:i w:val="0"/>
                <w:color w:val="2E74B5"/>
                <w:sz w:val="22"/>
              </w:rPr>
              <w:t>01</w:t>
            </w:r>
          </w:p>
        </w:tc>
        <w:tc>
          <w:tcPr>
            <w:tcW w:type="dxa" w:w="9936"/>
          </w:tcPr>
          <w:p>
            <w:r>
              <w:rPr>
                <w:rFonts w:ascii="Calibri" w:hAnsi="Calibri" w:eastAsia="Calibri"/>
                <w:b w:val="0"/>
                <w:i w:val="0"/>
                <w:sz w:val="22"/>
              </w:rPr>
              <w:t>Executive Summary</w:t>
            </w:r>
          </w:p>
        </w:tc>
      </w:tr>
      <w:tr>
        <w:tc>
          <w:tcPr>
            <w:tcW w:type="dxa" w:w="864"/>
          </w:tcPr>
          <w:p>
            <w:r>
              <w:rPr>
                <w:rFonts w:ascii="Calibri" w:hAnsi="Calibri" w:eastAsia="Calibri"/>
                <w:b/>
                <w:i w:val="0"/>
                <w:color w:val="2E74B5"/>
                <w:sz w:val="22"/>
              </w:rPr>
              <w:t>02</w:t>
            </w:r>
          </w:p>
        </w:tc>
        <w:tc>
          <w:tcPr>
            <w:tcW w:type="dxa" w:w="9936"/>
          </w:tcPr>
          <w:p>
            <w:r>
              <w:rPr>
                <w:rFonts w:ascii="Calibri" w:hAnsi="Calibri" w:eastAsia="Calibri"/>
                <w:b w:val="0"/>
                <w:i w:val="0"/>
                <w:sz w:val="22"/>
              </w:rPr>
              <w:t>Scope of Work</w:t>
            </w:r>
          </w:p>
        </w:tc>
      </w:tr>
      <w:tr>
        <w:tc>
          <w:tcPr>
            <w:tcW w:type="dxa" w:w="864"/>
          </w:tcPr>
          <w:p>
            <w:r>
              <w:rPr>
                <w:rFonts w:ascii="Calibri" w:hAnsi="Calibri" w:eastAsia="Calibri"/>
                <w:b/>
                <w:i w:val="0"/>
                <w:color w:val="2E74B5"/>
                <w:sz w:val="22"/>
              </w:rPr>
              <w:t>03</w:t>
            </w:r>
          </w:p>
        </w:tc>
        <w:tc>
          <w:tcPr>
            <w:tcW w:type="dxa" w:w="9936"/>
          </w:tcPr>
          <w:p>
            <w:r>
              <w:rPr>
                <w:rFonts w:ascii="Calibri" w:hAnsi="Calibri" w:eastAsia="Calibri"/>
                <w:b w:val="0"/>
                <w:i w:val="0"/>
                <w:sz w:val="22"/>
              </w:rPr>
              <w:t>Pricing</w:t>
            </w:r>
          </w:p>
        </w:tc>
      </w:tr>
      <w:tr>
        <w:tc>
          <w:tcPr>
            <w:tcW w:type="dxa" w:w="864"/>
          </w:tcPr>
          <w:p>
            <w:r>
              <w:rPr>
                <w:rFonts w:ascii="Calibri" w:hAnsi="Calibri" w:eastAsia="Calibri"/>
                <w:b/>
                <w:i w:val="0"/>
                <w:color w:val="2E74B5"/>
                <w:sz w:val="22"/>
              </w:rPr>
              <w:t>04</w:t>
            </w:r>
          </w:p>
        </w:tc>
        <w:tc>
          <w:tcPr>
            <w:tcW w:type="dxa" w:w="9936"/>
          </w:tcPr>
          <w:p>
            <w:r>
              <w:rPr>
                <w:rFonts w:ascii="Calibri" w:hAnsi="Calibri" w:eastAsia="Calibri"/>
                <w:b w:val="0"/>
                <w:i w:val="0"/>
                <w:sz w:val="22"/>
              </w:rPr>
              <w:t>Competitive Positioning</w:t>
            </w:r>
          </w:p>
        </w:tc>
      </w:tr>
      <w:tr>
        <w:tc>
          <w:tcPr>
            <w:tcW w:type="dxa" w:w="864"/>
          </w:tcPr>
          <w:p>
            <w:r>
              <w:rPr>
                <w:rFonts w:ascii="Calibri" w:hAnsi="Calibri" w:eastAsia="Calibri"/>
                <w:b/>
                <w:i w:val="0"/>
                <w:color w:val="2E74B5"/>
                <w:sz w:val="22"/>
              </w:rPr>
              <w:t>05</w:t>
            </w:r>
          </w:p>
        </w:tc>
        <w:tc>
          <w:tcPr>
            <w:tcW w:type="dxa" w:w="9936"/>
          </w:tcPr>
          <w:p>
            <w:r>
              <w:rPr>
                <w:rFonts w:ascii="Calibri" w:hAnsi="Calibri" w:eastAsia="Calibri"/>
                <w:b w:val="0"/>
                <w:i w:val="0"/>
                <w:sz w:val="22"/>
              </w:rPr>
              <w:t>Implementation Timeline</w:t>
            </w:r>
          </w:p>
        </w:tc>
      </w:tr>
      <w:tr>
        <w:tc>
          <w:tcPr>
            <w:tcW w:type="dxa" w:w="864"/>
          </w:tcPr>
          <w:p>
            <w:r>
              <w:rPr>
                <w:rFonts w:ascii="Calibri" w:hAnsi="Calibri" w:eastAsia="Calibri"/>
                <w:b/>
                <w:i w:val="0"/>
                <w:color w:val="2E74B5"/>
                <w:sz w:val="22"/>
              </w:rPr>
              <w:t>06</w:t>
            </w:r>
          </w:p>
        </w:tc>
        <w:tc>
          <w:tcPr>
            <w:tcW w:type="dxa" w:w="9936"/>
          </w:tcPr>
          <w:p>
            <w:r>
              <w:rPr>
                <w:rFonts w:ascii="Calibri" w:hAnsi="Calibri" w:eastAsia="Calibri"/>
                <w:b w:val="0"/>
                <w:i w:val="0"/>
                <w:sz w:val="22"/>
              </w:rPr>
              <w:t>Terms &amp; Conditions</w:t>
            </w:r>
          </w:p>
        </w:tc>
      </w:tr>
      <w:tr>
        <w:tc>
          <w:tcPr>
            <w:tcW w:type="dxa" w:w="864"/>
          </w:tcPr>
          <w:p>
            <w:r>
              <w:rPr>
                <w:rFonts w:ascii="Calibri" w:hAnsi="Calibri" w:eastAsia="Calibri"/>
                <w:b/>
                <w:i w:val="0"/>
                <w:color w:val="2E74B5"/>
                <w:sz w:val="22"/>
              </w:rPr>
              <w:t>07</w:t>
            </w:r>
          </w:p>
        </w:tc>
        <w:tc>
          <w:tcPr>
            <w:tcW w:type="dxa" w:w="9936"/>
          </w:tcPr>
          <w:p>
            <w:r>
              <w:rPr>
                <w:rFonts w:ascii="Calibri" w:hAnsi="Calibri" w:eastAsia="Calibri"/>
                <w:b w:val="0"/>
                <w:i w:val="0"/>
                <w:sz w:val="22"/>
              </w:rPr>
              <w:t>Next Steps</w:t>
            </w:r>
          </w:p>
        </w:tc>
      </w:tr>
    </w:tbl>
    <w:p>
      <w:pPr>
        <w:spacing w:after="200"/>
      </w:pPr>
    </w:p>
    <w:tbl>
      <w:tblPr>
        <w:tblW w:type="auto" w:w="0"/>
        <w:jc w:val="center"/>
        <w:tblLayout w:type="fixed"/>
        <w:tblLook w:firstColumn="1" w:firstRow="1" w:lastColumn="0" w:lastRow="0" w:noHBand="0" w:noVBand="1" w:val="04A0"/>
      </w:tblPr>
      <w:tblGrid>
        <w:gridCol w:w="5040"/>
        <w:gridCol w:w="5040"/>
      </w:tblGrid>
      <w:tr>
        <w:tc>
          <w:tcPr>
            <w:tcW w:type="dxa" w:w="5400"/>
            <w:shd w:val="clear" w:color="auto" w:fill="F2F2F2"/>
          </w:tcPr>
          <w:p>
            <w:r/>
            <w:r>
              <w:rPr>
                <w:rFonts w:ascii="Calibri" w:hAnsi="Calibri" w:eastAsia="Calibri"/>
                <w:b/>
                <w:i w:val="0"/>
                <w:sz w:val="20"/>
              </w:rPr>
              <w:t>Contact</w:t>
            </w:r>
          </w:p>
          <w:p>
            <w:r>
              <w:rPr>
                <w:rFonts w:ascii="Calibri" w:hAnsi="Calibri" w:eastAsia="Calibri"/>
                <w:b w:val="0"/>
                <w:i w:val="0"/>
                <w:sz w:val="20"/>
              </w:rPr>
              <w:t>13352 Kettle Camp Rd</w:t>
            </w:r>
          </w:p>
          <w:p>
            <w:r>
              <w:rPr>
                <w:rFonts w:ascii="Calibri" w:hAnsi="Calibri" w:eastAsia="Calibri"/>
                <w:b w:val="0"/>
                <w:i w:val="0"/>
                <w:sz w:val="20"/>
              </w:rPr>
              <w:t>Frisco, Texas 75035</w:t>
            </w:r>
          </w:p>
        </w:tc>
        <w:tc>
          <w:tcPr>
            <w:tcW w:type="dxa" w:w="5400"/>
            <w:shd w:val="clear" w:color="auto" w:fill="F2F2F2"/>
          </w:tcPr>
          <w:p>
            <w:pPr>
              <w:jc w:val="right"/>
            </w:pPr>
            <w:r/>
            <w:r>
              <w:rPr>
                <w:rFonts w:ascii="Calibri" w:hAnsi="Calibri" w:eastAsia="Calibri"/>
                <w:b w:val="0"/>
                <w:i w:val="0"/>
                <w:sz w:val="20"/>
              </w:rPr>
              <w:t>Phone: +917021950643</w:t>
            </w:r>
          </w:p>
          <w:p>
            <w:pPr>
              <w:jc w:val="right"/>
            </w:pPr>
            <w:r>
              <w:rPr>
                <w:rFonts w:ascii="Calibri" w:hAnsi="Calibri" w:eastAsia="Calibri"/>
                <w:b w:val="0"/>
                <w:i w:val="0"/>
                <w:sz w:val="20"/>
              </w:rPr>
              <w:t>www.orbitavanyatech.com</w:t>
            </w:r>
          </w:p>
        </w:tc>
      </w:tr>
      <w:tr>
        <w:tc>
          <w:tcPr>
            <w:tcW w:type="dxa" w:w="5400"/>
            <w:gridSpan w:val="2"/>
            <w:shd w:val="clear" w:color="auto" w:fill="D9D9D9"/>
          </w:tcPr>
          <w:p>
            <w:pPr>
              <w:spacing w:after="120"/>
            </w:pPr>
            <w:r/>
            <w:r>
              <w:rPr>
                <w:rFonts w:ascii="Calibri" w:hAnsi="Calibri" w:eastAsia="Calibri"/>
                <w:b w:val="0"/>
                <w:i w:val="0"/>
                <w:color w:val="595959"/>
                <w:sz w:val="17"/>
              </w:rPr>
              <w:t>This document contains proprietary and confidential information of OrbitAvanya Tech LLP and the recipient organization. It is submitted for the sole purpose of evaluating a potential business arrangement or technical contract engagement. No portion of this document may be reproduced, stored in a retrieval system, or transmitted in any form or by any means without prior written authorization from OrbitAvanya Tech LLP.</w:t>
            </w:r>
          </w:p>
        </w:tc>
      </w:tr>
    </w:tbl>
    <w:p>
      <w:r>
        <w:br w:type="page"/>
      </w:r>
    </w:p>
    <w:p>
      <w:r>
        <w:br w:type="page"/>
      </w:r>
    </w:p>
    <w:p>
      <w:pPr>
        <w:pStyle w:val="Heading1"/>
        <w:keepNext/>
        <w:spacing w:before="80" w:after="200"/>
        <w:pBdr>
          <w:bottom w:val="single" w:sz="10" w:space="4" w:color="2E74B5"/>
        </w:pBdr>
      </w:pPr>
      <w:r>
        <w:rPr>
          <w:rFonts w:ascii="Calibri" w:hAnsi="Calibri" w:eastAsia="Calibri"/>
          <w:b/>
          <w:i w:val="0"/>
          <w:color w:val="2E74B5"/>
          <w:sz w:val="34"/>
        </w:rPr>
        <w:t>1.0 Executive Summary</w:t>
      </w:r>
    </w:p>
    <w:p>
      <w:pPr>
        <w:spacing w:after="160"/>
        <w:jc w:val="both"/>
      </w:pPr>
      <w:r>
        <w:rPr>
          <w:rFonts w:ascii="Calibri" w:hAnsi="Calibri" w:eastAsia="Calibri"/>
          <w:b w:val="0"/>
          <w:i w:val="0"/>
          <w:sz w:val="22"/>
        </w:rPr>
        <w:t>This proposal outlines our assessment of the National Weather Service solicitation for exterior landscaping and lawn care services in Jackson, MS. After a thorough review of the requirements, we have determined that the scope of work—which includes mowing, edging, chemical weed and fire ant control, pruning, and debris removal—falls entirely outside our organizational core competencies. Our firm specializes exclusively in IT, software development, AI, and cloud infrastructure services, and we do not maintain the operational infrastructure, specialized equipment, or personnel required to execute physical grounds maintenance.</w:t>
      </w:r>
    </w:p>
    <w:p>
      <w:pPr>
        <w:spacing w:after="160"/>
        <w:jc w:val="both"/>
      </w:pPr>
      <w:r>
        <w:rPr>
          <w:rFonts w:ascii="Calibri" w:hAnsi="Calibri" w:eastAsia="Calibri"/>
          <w:b w:val="0"/>
          <w:i w:val="0"/>
          <w:sz w:val="22"/>
        </w:rPr>
        <w:t>While we recognize the importance of the National Weather Service's mission and the necessity of maintaining their facilities to a high standard, we have concluded that we are not the appropriate partner for this specific requirement. Our commitment to quality and operational excellence dictates that we only pursue contracts where we can guarantee superior performance and technical expertise. Attempting to fulfill this solicitation would require a fundamental shift in our business model and the acquisition of specialized certifications and equipment that are not aligned with our long-term strategic objectives.</w:t>
      </w:r>
    </w:p>
    <w:p>
      <w:pPr>
        <w:pStyle w:val="Heading1"/>
        <w:keepNext/>
        <w:spacing w:before="80" w:after="200"/>
        <w:pBdr>
          <w:bottom w:val="single" w:sz="10" w:space="4" w:color="2E74B5"/>
        </w:pBdr>
      </w:pPr>
      <w:r>
        <w:rPr>
          <w:rFonts w:ascii="Calibri" w:hAnsi="Calibri" w:eastAsia="Calibri"/>
          <w:b/>
          <w:i w:val="0"/>
          <w:color w:val="2E74B5"/>
          <w:sz w:val="34"/>
        </w:rPr>
        <w:t>2.0 Scope of Work</w:t>
      </w:r>
    </w:p>
    <w:p>
      <w:pPr>
        <w:pStyle w:val="ListBullet"/>
        <w:spacing w:after="80"/>
      </w:pPr>
      <w:r>
        <w:rPr>
          <w:rFonts w:ascii="Calibri" w:hAnsi="Calibri" w:eastAsia="Calibri"/>
          <w:b w:val="0"/>
          <w:i w:val="0"/>
          <w:sz w:val="22"/>
        </w:rPr>
        <w:t>The contractor is unable to provide the requested landscaping and lawn care services as they fall outside the scope of our current business operations.</w:t>
      </w:r>
    </w:p>
    <w:p>
      <w:pPr>
        <w:pStyle w:val="ListBullet"/>
        <w:spacing w:after="80"/>
      </w:pPr>
      <w:r>
        <w:rPr>
          <w:rFonts w:ascii="Calibri" w:hAnsi="Calibri" w:eastAsia="Calibri"/>
          <w:b w:val="0"/>
          <w:i w:val="0"/>
          <w:sz w:val="22"/>
        </w:rPr>
        <w:t>We do not possess the necessary equipment for mowing, edging, or debris removal.</w:t>
      </w:r>
    </w:p>
    <w:p>
      <w:pPr>
        <w:pStyle w:val="ListBullet"/>
        <w:spacing w:after="80"/>
      </w:pPr>
      <w:r>
        <w:rPr>
          <w:rFonts w:ascii="Calibri" w:hAnsi="Calibri" w:eastAsia="Calibri"/>
          <w:b w:val="0"/>
          <w:i w:val="0"/>
          <w:sz w:val="22"/>
        </w:rPr>
        <w:t>We do not hold the required certifications or expertise for the application of chemical weed and fire ant control agents.</w:t>
      </w:r>
    </w:p>
    <w:p>
      <w:pPr>
        <w:pStyle w:val="ListBullet"/>
        <w:spacing w:after="80"/>
      </w:pPr>
      <w:r>
        <w:rPr>
          <w:rFonts w:ascii="Calibri" w:hAnsi="Calibri" w:eastAsia="Calibri"/>
          <w:b w:val="0"/>
          <w:i w:val="0"/>
          <w:sz w:val="22"/>
        </w:rPr>
        <w:t>Our firm is not equipped to perform physical grounds maintenance, pruning, or mulching services.</w:t>
      </w:r>
    </w:p>
    <w:p>
      <w:pPr>
        <w:pStyle w:val="Heading1"/>
        <w:keepNext/>
        <w:spacing w:before="80" w:after="200"/>
        <w:pBdr>
          <w:bottom w:val="single" w:sz="10" w:space="4" w:color="2E74B5"/>
        </w:pBdr>
      </w:pPr>
      <w:r>
        <w:rPr>
          <w:rFonts w:ascii="Calibri" w:hAnsi="Calibri" w:eastAsia="Calibri"/>
          <w:b/>
          <w:i w:val="0"/>
          <w:color w:val="2E74B5"/>
          <w:sz w:val="34"/>
        </w:rPr>
        <w:t>3.0 Pricing</w:t>
      </w:r>
    </w:p>
    <w:p>
      <w:pPr>
        <w:spacing w:before="40"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2E74B5"/>
          </w:tcPr>
          <w:p>
            <w:r/>
            <w:r>
              <w:rPr>
                <w:rFonts w:ascii="Calibri" w:hAnsi="Calibri" w:eastAsia="Calibri"/>
                <w:b/>
                <w:i w:val="0"/>
                <w:color w:val="FFFFFF"/>
                <w:sz w:val="21"/>
              </w:rPr>
              <w:t>Item</w:t>
            </w:r>
          </w:p>
        </w:tc>
        <w:tc>
          <w:tcPr>
            <w:tcW w:type="dxa" w:w="2016"/>
            <w:shd w:val="clear" w:color="auto" w:fill="2E74B5"/>
          </w:tcPr>
          <w:p>
            <w:r/>
            <w:r>
              <w:rPr>
                <w:rFonts w:ascii="Calibri" w:hAnsi="Calibri" w:eastAsia="Calibri"/>
                <w:b/>
                <w:i w:val="0"/>
                <w:color w:val="FFFFFF"/>
                <w:sz w:val="21"/>
              </w:rPr>
              <w:t>Description</w:t>
            </w:r>
          </w:p>
        </w:tc>
        <w:tc>
          <w:tcPr>
            <w:tcW w:type="dxa" w:w="2016"/>
            <w:shd w:val="clear" w:color="auto" w:fill="2E74B5"/>
          </w:tcPr>
          <w:p>
            <w:r/>
            <w:r>
              <w:rPr>
                <w:rFonts w:ascii="Calibri" w:hAnsi="Calibri" w:eastAsia="Calibri"/>
                <w:b/>
                <w:i w:val="0"/>
                <w:color w:val="FFFFFF"/>
                <w:sz w:val="21"/>
              </w:rPr>
              <w:t>Unit Price</w:t>
            </w:r>
          </w:p>
        </w:tc>
        <w:tc>
          <w:tcPr>
            <w:tcW w:type="dxa" w:w="2016"/>
            <w:shd w:val="clear" w:color="auto" w:fill="2E74B5"/>
          </w:tcPr>
          <w:p>
            <w:r/>
            <w:r>
              <w:rPr>
                <w:rFonts w:ascii="Calibri" w:hAnsi="Calibri" w:eastAsia="Calibri"/>
                <w:b/>
                <w:i w:val="0"/>
                <w:color w:val="FFFFFF"/>
                <w:sz w:val="21"/>
              </w:rPr>
              <w:t>Qty</w:t>
            </w:r>
          </w:p>
        </w:tc>
        <w:tc>
          <w:tcPr>
            <w:tcW w:type="dxa" w:w="2016"/>
            <w:shd w:val="clear" w:color="auto" w:fill="2E74B5"/>
          </w:tcPr>
          <w:p>
            <w:r/>
            <w:r>
              <w:rPr>
                <w:rFonts w:ascii="Calibri" w:hAnsi="Calibri" w:eastAsia="Calibri"/>
                <w:b/>
                <w:i w:val="0"/>
                <w:color w:val="FFFFFF"/>
                <w:sz w:val="21"/>
              </w:rPr>
              <w:t>Total</w:t>
            </w:r>
          </w:p>
        </w:tc>
      </w:tr>
      <w:tr>
        <w:tc>
          <w:tcPr>
            <w:tcW w:type="dxa" w:w="2016"/>
          </w:tcPr>
          <w:p>
            <w:r/>
            <w:r>
              <w:rPr>
                <w:rFonts w:ascii="Calibri" w:hAnsi="Calibri" w:eastAsia="Calibri"/>
                <w:b w:val="0"/>
                <w:i w:val="0"/>
                <w:sz w:val="20"/>
              </w:rPr>
              <w:t>Landscaping &amp; Lawn Care Services</w:t>
            </w:r>
          </w:p>
        </w:tc>
        <w:tc>
          <w:tcPr>
            <w:tcW w:type="dxa" w:w="2016"/>
          </w:tcPr>
          <w:p>
            <w:r/>
            <w:r>
              <w:rPr>
                <w:rFonts w:ascii="Calibri" w:hAnsi="Calibri" w:eastAsia="Calibri"/>
                <w:b w:val="0"/>
                <w:i w:val="0"/>
                <w:sz w:val="20"/>
              </w:rPr>
              <w:t>Not applicable - Service outside of core competency</w:t>
            </w:r>
          </w:p>
        </w:tc>
        <w:tc>
          <w:tcPr>
            <w:tcW w:type="dxa" w:w="2016"/>
          </w:tcPr>
          <w:p>
            <w:r/>
            <w:r>
              <w:rPr>
                <w:rFonts w:ascii="Calibri" w:hAnsi="Calibri" w:eastAsia="Calibri"/>
                <w:b w:val="0"/>
                <w:i w:val="0"/>
                <w:sz w:val="20"/>
              </w:rPr>
              <w:t>N/A</w:t>
            </w:r>
          </w:p>
        </w:tc>
        <w:tc>
          <w:tcPr>
            <w:tcW w:type="dxa" w:w="2016"/>
          </w:tcPr>
          <w:p>
            <w:r/>
            <w:r>
              <w:rPr>
                <w:rFonts w:ascii="Calibri" w:hAnsi="Calibri" w:eastAsia="Calibri"/>
                <w:b w:val="0"/>
                <w:i w:val="0"/>
                <w:sz w:val="20"/>
              </w:rPr>
              <w:t>0</w:t>
            </w:r>
          </w:p>
        </w:tc>
        <w:tc>
          <w:tcPr>
            <w:tcW w:type="dxa" w:w="2016"/>
          </w:tcPr>
          <w:p>
            <w:r/>
            <w:r>
              <w:rPr>
                <w:rFonts w:ascii="Calibri" w:hAnsi="Calibri" w:eastAsia="Calibri"/>
                <w:b w:val="0"/>
                <w:i w:val="0"/>
                <w:sz w:val="20"/>
              </w:rPr>
              <w:t>N/A</w:t>
            </w:r>
          </w:p>
        </w:tc>
      </w:tr>
    </w:tbl>
    <w:p>
      <w:pPr>
        <w:spacing w:after="120"/>
      </w:pPr>
    </w:p>
    <w:p>
      <w:pPr>
        <w:pStyle w:val="Heading1"/>
        <w:keepNext/>
        <w:spacing w:before="80" w:after="200"/>
        <w:pBdr>
          <w:bottom w:val="single" w:sz="10" w:space="4" w:color="2E74B5"/>
        </w:pBdr>
      </w:pPr>
      <w:r>
        <w:rPr>
          <w:rFonts w:ascii="Calibri" w:hAnsi="Calibri" w:eastAsia="Calibri"/>
          <w:b/>
          <w:i w:val="0"/>
          <w:color w:val="2E74B5"/>
          <w:sz w:val="34"/>
        </w:rPr>
        <w:t>4.0 Competitive Positioning</w:t>
      </w:r>
    </w:p>
    <w:p>
      <w:pPr>
        <w:spacing w:after="160"/>
        <w:jc w:val="both"/>
      </w:pPr>
      <w:r>
        <w:rPr>
          <w:rFonts w:ascii="Calibri" w:hAnsi="Calibri" w:eastAsia="Calibri"/>
          <w:b w:val="0"/>
          <w:i w:val="0"/>
          <w:sz w:val="22"/>
        </w:rPr>
        <w:t>Our firm maintains a distinct market position as a specialized provider of high-end IT and cloud infrastructure solutions. We differentiate ourselves through deep technical expertise in software development and AI integration, rather than physical facility management. By focusing strictly on our core competencies, we ensure that our clients receive the highest level of technical support and innovation.</w:t>
      </w:r>
    </w:p>
    <w:p>
      <w:pPr>
        <w:spacing w:after="160"/>
        <w:jc w:val="both"/>
      </w:pPr>
      <w:r>
        <w:rPr>
          <w:rFonts w:ascii="Calibri" w:hAnsi="Calibri" w:eastAsia="Calibri"/>
          <w:b w:val="0"/>
          <w:i w:val="0"/>
          <w:sz w:val="22"/>
        </w:rPr>
        <w:t>In the context of this specific RFP, we believe that the best interests of the National Weather Service are served by engaging a contractor with a proven track record in grounds maintenance and facility management. We prioritize transparency and integrity in our business development process, and we believe that declining this opportunity is the most responsible course of action to ensure the agency receives the specialized care required for their Jackson, MS facility.</w:t>
      </w:r>
    </w:p>
    <w:p>
      <w:pPr>
        <w:pStyle w:val="Heading1"/>
        <w:keepNext/>
        <w:spacing w:before="80" w:after="200"/>
        <w:pBdr>
          <w:bottom w:val="single" w:sz="10" w:space="4" w:color="2E74B5"/>
        </w:pBdr>
      </w:pPr>
      <w:r>
        <w:rPr>
          <w:rFonts w:ascii="Calibri" w:hAnsi="Calibri" w:eastAsia="Calibri"/>
          <w:b/>
          <w:i w:val="0"/>
          <w:color w:val="2E74B5"/>
          <w:sz w:val="34"/>
        </w:rPr>
        <w:t>5.0 Implementation Timeline</w:t>
      </w:r>
    </w:p>
    <w:p>
      <w:pPr>
        <w:spacing w:before="40" w:after="4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2E74B5"/>
          </w:tcPr>
          <w:p>
            <w:r/>
            <w:r>
              <w:rPr>
                <w:rFonts w:ascii="Calibri" w:hAnsi="Calibri" w:eastAsia="Calibri"/>
                <w:b/>
                <w:i w:val="0"/>
                <w:color w:val="FFFFFF"/>
                <w:sz w:val="21"/>
              </w:rPr>
              <w:t>Phase</w:t>
            </w:r>
          </w:p>
        </w:tc>
        <w:tc>
          <w:tcPr>
            <w:tcW w:type="dxa" w:w="3360"/>
            <w:shd w:val="clear" w:color="auto" w:fill="2E74B5"/>
          </w:tcPr>
          <w:p>
            <w:r/>
            <w:r>
              <w:rPr>
                <w:rFonts w:ascii="Calibri" w:hAnsi="Calibri" w:eastAsia="Calibri"/>
                <w:b/>
                <w:i w:val="0"/>
                <w:color w:val="FFFFFF"/>
                <w:sz w:val="21"/>
              </w:rPr>
              <w:t>Duration</w:t>
            </w:r>
          </w:p>
        </w:tc>
        <w:tc>
          <w:tcPr>
            <w:tcW w:type="dxa" w:w="3360"/>
            <w:shd w:val="clear" w:color="auto" w:fill="2E74B5"/>
          </w:tcPr>
          <w:p>
            <w:r/>
            <w:r>
              <w:rPr>
                <w:rFonts w:ascii="Calibri" w:hAnsi="Calibri" w:eastAsia="Calibri"/>
                <w:b/>
                <w:i w:val="0"/>
                <w:color w:val="FFFFFF"/>
                <w:sz w:val="21"/>
              </w:rPr>
              <w:t>Focus</w:t>
            </w:r>
          </w:p>
        </w:tc>
      </w:tr>
      <w:tr>
        <w:tc>
          <w:tcPr>
            <w:tcW w:type="dxa" w:w="3360"/>
          </w:tcPr>
          <w:p>
            <w:r/>
            <w:r>
              <w:rPr>
                <w:rFonts w:ascii="Calibri" w:hAnsi="Calibri" w:eastAsia="Calibri"/>
                <w:b w:val="0"/>
                <w:i w:val="0"/>
                <w:sz w:val="20"/>
              </w:rPr>
              <w:t>Evaluation</w:t>
            </w:r>
          </w:p>
        </w:tc>
        <w:tc>
          <w:tcPr>
            <w:tcW w:type="dxa" w:w="3360"/>
          </w:tcPr>
          <w:p>
            <w:r/>
            <w:r>
              <w:rPr>
                <w:rFonts w:ascii="Calibri" w:hAnsi="Calibri" w:eastAsia="Calibri"/>
                <w:b w:val="0"/>
                <w:i w:val="0"/>
                <w:sz w:val="20"/>
              </w:rPr>
              <w:t>N/A</w:t>
            </w:r>
          </w:p>
        </w:tc>
        <w:tc>
          <w:tcPr>
            <w:tcW w:type="dxa" w:w="3360"/>
          </w:tcPr>
          <w:p>
            <w:r/>
            <w:r>
              <w:rPr>
                <w:rFonts w:ascii="Calibri" w:hAnsi="Calibri" w:eastAsia="Calibri"/>
                <w:b w:val="0"/>
                <w:i w:val="0"/>
                <w:sz w:val="20"/>
              </w:rPr>
              <w:t>Internal assessment of capabilities against RFP requirements.</w:t>
            </w:r>
          </w:p>
        </w:tc>
      </w:tr>
    </w:tbl>
    <w:p>
      <w:pPr>
        <w:spacing w:after="120"/>
      </w:pPr>
    </w:p>
    <w:p>
      <w:pPr>
        <w:pStyle w:val="Heading1"/>
        <w:keepNext/>
        <w:spacing w:before="80" w:after="200"/>
        <w:pBdr>
          <w:bottom w:val="single" w:sz="10" w:space="4" w:color="2E74B5"/>
        </w:pBdr>
      </w:pPr>
      <w:r>
        <w:rPr>
          <w:rFonts w:ascii="Calibri" w:hAnsi="Calibri" w:eastAsia="Calibri"/>
          <w:b/>
          <w:i w:val="0"/>
          <w:color w:val="2E74B5"/>
          <w:sz w:val="34"/>
        </w:rPr>
        <w:t>6.0 Terms &amp; Conditions</w:t>
      </w:r>
    </w:p>
    <w:p>
      <w:pPr>
        <w:pStyle w:val="ListBullet"/>
        <w:spacing w:after="80"/>
      </w:pPr>
      <w:r>
        <w:rPr>
          <w:rFonts w:ascii="Calibri" w:hAnsi="Calibri" w:eastAsia="Calibri"/>
          <w:b w:val="0"/>
          <w:i w:val="0"/>
          <w:sz w:val="22"/>
        </w:rPr>
        <w:t>This proposal serves as a formal notification of our decision not to bid.</w:t>
      </w:r>
    </w:p>
    <w:p>
      <w:pPr>
        <w:pStyle w:val="ListBullet"/>
        <w:spacing w:after="80"/>
      </w:pPr>
      <w:r>
        <w:rPr>
          <w:rFonts w:ascii="Calibri" w:hAnsi="Calibri" w:eastAsia="Calibri"/>
          <w:b w:val="0"/>
          <w:i w:val="0"/>
          <w:sz w:val="22"/>
        </w:rPr>
        <w:t>No payment terms are applicable as no services will be rendered.</w:t>
      </w:r>
    </w:p>
    <w:p>
      <w:pPr>
        <w:pStyle w:val="ListBullet"/>
        <w:spacing w:after="80"/>
      </w:pPr>
      <w:r>
        <w:rPr>
          <w:rFonts w:ascii="Calibri" w:hAnsi="Calibri" w:eastAsia="Calibri"/>
          <w:b w:val="0"/>
          <w:i w:val="0"/>
          <w:sz w:val="22"/>
        </w:rPr>
        <w:t>No warranty or SLA is provided for this scope of work.</w:t>
      </w:r>
    </w:p>
    <w:p>
      <w:pPr>
        <w:pStyle w:val="ListBullet"/>
        <w:spacing w:after="80"/>
      </w:pPr>
      <w:r>
        <w:rPr>
          <w:rFonts w:ascii="Calibri" w:hAnsi="Calibri" w:eastAsia="Calibri"/>
          <w:b w:val="0"/>
          <w:i w:val="0"/>
          <w:sz w:val="22"/>
        </w:rPr>
        <w:t>This document is valid for the duration of the solicitation period.</w:t>
      </w:r>
    </w:p>
    <w:p>
      <w:pPr>
        <w:pStyle w:val="Heading1"/>
        <w:keepNext/>
        <w:spacing w:before="80" w:after="200"/>
        <w:pBdr>
          <w:bottom w:val="single" w:sz="10" w:space="4" w:color="2E74B5"/>
        </w:pBdr>
      </w:pPr>
      <w:r>
        <w:rPr>
          <w:rFonts w:ascii="Calibri" w:hAnsi="Calibri" w:eastAsia="Calibri"/>
          <w:b/>
          <w:i w:val="0"/>
          <w:color w:val="2E74B5"/>
          <w:sz w:val="34"/>
        </w:rPr>
        <w:t>7.0 Next Steps</w:t>
      </w:r>
    </w:p>
    <w:p>
      <w:pPr>
        <w:spacing w:after="160"/>
        <w:jc w:val="both"/>
      </w:pPr>
      <w:r>
        <w:rPr>
          <w:rFonts w:ascii="Calibri" w:hAnsi="Calibri" w:eastAsia="Calibri"/>
          <w:b w:val="0"/>
          <w:i w:val="0"/>
          <w:sz w:val="22"/>
        </w:rPr>
        <w:t>We respectfully decline to submit a bid for this solicitation. We recommend that the National Weather Service seek proposals from qualified landscaping and facility management firms that possess the necessary equipment, certifications, and operational experience to fulfill these requirements effectively.</w:t>
      </w:r>
    </w:p>
    <w:p>
      <w:pPr>
        <w:spacing w:before="240"/>
      </w:pPr>
      <w:r>
        <w:rPr>
          <w:rFonts w:ascii="Calibri" w:hAnsi="Calibri" w:eastAsia="Calibri"/>
          <w:b w:val="0"/>
          <w:i w:val="0"/>
          <w:sz w:val="22"/>
        </w:rPr>
        <w:t>Respectfully,</w:t>
        <w:br/>
        <w:br/>
      </w:r>
      <w:r>
        <w:rPr>
          <w:rFonts w:ascii="Calibri" w:hAnsi="Calibri" w:eastAsia="Calibri"/>
          <w:b/>
          <w:i w:val="0"/>
          <w:sz w:val="22"/>
        </w:rPr>
        <w:t>Ranjeet Kumar Singh</w:t>
      </w:r>
    </w:p>
    <w:p>
      <w:pPr>
        <w:spacing w:after="0"/>
      </w:pPr>
      <w:r>
        <w:rPr>
          <w:rFonts w:ascii="Calibri" w:hAnsi="Calibri" w:eastAsia="Calibri"/>
          <w:b w:val="0"/>
          <w:i w:val="0"/>
          <w:sz w:val="22"/>
        </w:rPr>
        <w:t>Founder &amp; CEO</w:t>
      </w:r>
    </w:p>
    <w:p>
      <w:pPr>
        <w:spacing w:after="0"/>
      </w:pPr>
      <w:r>
        <w:rPr>
          <w:rFonts w:ascii="Calibri" w:hAnsi="Calibri" w:eastAsia="Calibri"/>
          <w:b w:val="0"/>
          <w:i w:val="0"/>
          <w:sz w:val="22"/>
        </w:rPr>
        <w:t>OrbitAvanya Tech LLP (AvanyaEdge)</w:t>
      </w:r>
    </w:p>
    <w:sectPr w:rsidR="00FC693F" w:rsidRPr="0006063C" w:rsidSect="00034616">
      <w:headerReference w:type="first" r:id="rId9"/>
      <w:footerReference w:type="first" r:id="rId10"/>
      <w:headerReference w:type="default" r:id="rId11"/>
      <w:footerReference w:type="default" r:id="rId12"/>
      <w:pgSz w:w="12240" w:h="15840"/>
      <w:pgMar w:top="1296" w:right="1080" w:bottom="1296"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400"/>
      <w:gridCol w:w="5400"/>
    </w:tblGrid>
    <w:tr>
      <w:tc>
        <w:tcPr>
          <w:tcW w:type="dxa" w:w="5400"/>
        </w:tcPr>
        <w:p>
          <w:r/>
          <w:r>
            <w:drawing>
              <wp:inline xmlns:a="http://schemas.openxmlformats.org/drawingml/2006/main" xmlns:pic="http://schemas.openxmlformats.org/drawingml/2006/picture">
                <wp:extent cx="1005840" cy="881743"/>
                <wp:docPr id="1" name="Picture 1"/>
                <wp:cNvGraphicFramePr>
                  <a:graphicFrameLocks noChangeAspect="1"/>
                </wp:cNvGraphicFramePr>
                <a:graphic>
                  <a:graphicData uri="http://schemas.openxmlformats.org/drawingml/2006/picture">
                    <pic:pic>
                      <pic:nvPicPr>
                        <pic:cNvPr id="0" name="WK_T360_Proposal_-_September_11__2024_extracted_logo.png"/>
                        <pic:cNvPicPr/>
                      </pic:nvPicPr>
                      <pic:blipFill>
                        <a:blip r:embed="rId1"/>
                        <a:stretch>
                          <a:fillRect/>
                        </a:stretch>
                      </pic:blipFill>
                      <pic:spPr>
                        <a:xfrm>
                          <a:off x="0" y="0"/>
                          <a:ext cx="1005840" cy="881743"/>
                        </a:xfrm>
                        <a:prstGeom prst="rect"/>
                      </pic:spPr>
                    </pic:pic>
                  </a:graphicData>
                </a:graphic>
              </wp:inline>
            </w:drawing>
          </w:r>
        </w:p>
        <w:p>
          <w:r>
            <w:rPr>
              <w:rFonts w:ascii="Calibri" w:hAnsi="Calibri" w:eastAsia="Calibri"/>
              <w:b w:val="0"/>
              <w:i w:val="0"/>
              <w:sz w:val="16"/>
            </w:rPr>
            <w:t xml:space="preserve">Page </w:t>
          </w:r>
          <w:r>
            <w:fldChar w:fldCharType="begin"/>
          </w:r>
          <w:r>
            <w:instrText xml:space="preserve"> PAGE </w:instrText>
          </w:r>
          <w:r>
            <w:fldChar w:fldCharType="end"/>
          </w:r>
          <w:r>
            <w:rPr>
              <w:rFonts w:ascii="Calibri" w:hAnsi="Calibri" w:eastAsia="Calibri"/>
              <w:b w:val="0"/>
              <w:i w:val="0"/>
              <w:sz w:val="16"/>
            </w:rPr>
            <w:t xml:space="preserve"> of </w:t>
          </w:r>
          <w:r>
            <w:fldChar w:fldCharType="begin"/>
          </w:r>
          <w:r>
            <w:instrText xml:space="preserve"> NUMPAGES </w:instrText>
          </w:r>
          <w:r>
            <w:fldChar w:fldCharType="end"/>
          </w:r>
        </w:p>
      </w:tc>
      <w:tc>
        <w:tcPr>
          <w:tcW w:type="dxa" w:w="5400"/>
        </w:tcPr>
        <w:p>
          <w:pPr>
            <w:jc w:val="right"/>
          </w:pPr>
          <w:r/>
          <w:r>
            <w:rPr>
              <w:rFonts w:ascii="Calibri" w:hAnsi="Calibri" w:eastAsia="Calibri"/>
              <w:b w:val="0"/>
              <w:i w:val="0"/>
              <w:color w:val="595959"/>
              <w:sz w:val="16"/>
            </w:rPr>
            <w:t>OrbitAvanya Tech LLP</w:t>
            <w:br/>
          </w:r>
          <w:r>
            <w:rPr>
              <w:rFonts w:ascii="Calibri" w:hAnsi="Calibri" w:eastAsia="Calibri"/>
              <w:b w:val="0"/>
              <w:i w:val="0"/>
              <w:color w:val="595959"/>
              <w:sz w:val="20"/>
            </w:rPr>
            <w:t>www.orbitavanyatech.com</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881743"/>
          <wp:docPr id="1" name="Picture 1"/>
          <wp:cNvGraphicFramePr>
            <a:graphicFrameLocks noChangeAspect="1"/>
          </wp:cNvGraphicFramePr>
          <a:graphic>
            <a:graphicData uri="http://schemas.openxmlformats.org/drawingml/2006/picture">
              <pic:pic>
                <pic:nvPicPr>
                  <pic:cNvPr id="0" name="WK_T360_Proposal_-_September_11__2024_extracted_logo.png"/>
                  <pic:cNvPicPr/>
                </pic:nvPicPr>
                <pic:blipFill>
                  <a:blip r:embed="rId1"/>
                  <a:stretch>
                    <a:fillRect/>
                  </a:stretch>
                </pic:blipFill>
                <pic:spPr>
                  <a:xfrm>
                    <a:off x="0" y="0"/>
                    <a:ext cx="1005840" cy="881743"/>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400"/>
      <w:gridCol w:w="5400"/>
    </w:tblGrid>
    <w:tr>
      <w:tc>
        <w:tcPr>
          <w:tcW w:type="dxa" w:w="5400"/>
        </w:tcPr>
        <w:p>
          <w:r/>
          <w:r>
            <w:rPr>
              <w:rFonts w:ascii="Calibri" w:hAnsi="Calibri" w:eastAsia="Calibri"/>
              <w:b w:val="0"/>
              <w:i w:val="0"/>
              <w:sz w:val="20"/>
            </w:rPr>
            <w:t>Customer</w:t>
            <w:br/>
          </w:r>
          <w:r>
            <w:rPr>
              <w:rFonts w:ascii="Calibri" w:hAnsi="Calibri" w:eastAsia="Calibri"/>
              <w:b/>
              <w:i w:val="0"/>
              <w:sz w:val="20"/>
            </w:rPr>
            <w:t>National Weather Service (NWS)</w:t>
          </w:r>
        </w:p>
      </w:tc>
      <w:tc>
        <w:tcPr>
          <w:tcW w:type="dxa" w:w="5400"/>
        </w:tcPr>
        <w:p>
          <w:pPr>
            <w:jc w:val="right"/>
          </w:pPr>
          <w:r/>
          <w:r>
            <w:rPr>
              <w:rFonts w:ascii="Calibri" w:hAnsi="Calibri" w:eastAsia="Calibri"/>
              <w:b/>
              <w:i w:val="0"/>
              <w:sz w:val="20"/>
            </w:rPr>
            <w:t>Proposal</w:t>
            <w:br/>
          </w:r>
          <w:r>
            <w:rPr>
              <w:rFonts w:ascii="Calibri" w:hAnsi="Calibri" w:eastAsia="Calibri"/>
              <w:b w:val="0"/>
              <w:i w:val="0"/>
              <w:sz w:val="16"/>
            </w:rPr>
            <w:t>OrbitAvanya Tech LLP</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ompat>
    <w:compatSetting w:name="useWord2013TrackBottomHyphenation" w:uri="http://schemas.microsoft.com/office/word" w:val="0"/>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