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28"/>
          <w:szCs w:val="28"/>
        </w:rPr>
        <w:t xml:space="preserve">Agentic Generative AI for Clinical Decision Making</w:t>
      </w:r>
    </w:p>
    <w:p>
      <w:pPr>
        <w:spacing w:after="200"/>
        <w:jc w:val="center"/>
      </w:pPr>
      <w:r>
        <w:rPr>
          <w:rFonts w:ascii="Calibri" w:cs="Calibri" w:eastAsia="Calibri" w:hAnsi="Calibri"/>
          <w:i/>
          <w:iCs/>
          <w:color w:val="595959"/>
          <w:sz w:val="20"/>
          <w:szCs w:val="20"/>
        </w:rPr>
        <w:t xml:space="preserve">Anomaly Detection and Reasoning Agents for Treatment, Payment, and Operations (TPO)</w:t>
      </w:r>
    </w:p>
    <w:p>
      <w:pPr>
        <w:spacing w:after="200"/>
        <w:jc w:val="center"/>
      </w:pPr>
      <w:r>
        <w:rPr>
          <w:rFonts w:ascii="Calibri" w:cs="Calibri" w:eastAsia="Calibri" w:hAnsi="Calibri"/>
          <w:i/>
          <w:iCs/>
          <w:color w:val="595959"/>
          <w:sz w:val="20"/>
          <w:szCs w:val="20"/>
        </w:rPr>
        <w:t xml:space="preserve">Dhiraj Salunkhe  |  University of Pennsylvania  |  Cotiviti Intern Assessment</w:t>
      </w:r>
    </w:p>
    <w:p>
      <w:pPr>
        <w:spacing w:after="80" w:before="160"/>
      </w:pPr>
      <w:r>
        <w:rPr>
          <w:rFonts w:ascii="Calibri" w:cs="Calibri" w:eastAsia="Calibri" w:hAnsi="Calibri"/>
          <w:b/>
          <w:bCs/>
          <w:color w:val="000000"/>
          <w:sz w:val="24"/>
          <w:szCs w:val="24"/>
        </w:rPr>
        <w:t xml:space="preserve">Defining the Concept</w:t>
      </w:r>
    </w:p>
    <w:p>
      <w:pPr>
        <w:spacing w:after="120" w:line="276"/>
      </w:pPr>
      <w:r>
        <w:rPr>
          <w:rFonts w:ascii="Calibri" w:cs="Calibri" w:eastAsia="Calibri" w:hAnsi="Calibri"/>
          <w:sz w:val="22"/>
          <w:szCs w:val="22"/>
        </w:rPr>
        <w:t xml:space="preserve">Agentic generative AI refers to systems in which one or more large language models (LLMs) act as reasoning controllers that plan, call tools, query data, and coordinate downstream models to complete multi-step tasks with minimal human prompting. In a clinical decision-making context, this means moving beyond single-shot prediction toward orchestrated workflows that combine classical machine learning (classification, prediction, clustering, time-series anomaly detection) with LLM-driven chain reasoning over the results. Applied to Treatment, Payment, and Operations (TPO), an agent can ingest a claim, run a pretrained anomaly detector, retrieve the relevant policy and member history, and produce a structured, auditable recommendation explaining why a claim should be paid, pended, or routed to a clinical reviewer.</w:t>
      </w:r>
    </w:p>
    <w:p>
      <w:pPr>
        <w:spacing w:after="80" w:before="160"/>
      </w:pPr>
      <w:r>
        <w:rPr>
          <w:rFonts w:ascii="Calibri" w:cs="Calibri" w:eastAsia="Calibri" w:hAnsi="Calibri"/>
          <w:b/>
          <w:bCs/>
          <w:color w:val="000000"/>
          <w:sz w:val="24"/>
          <w:szCs w:val="24"/>
        </w:rPr>
        <w:t xml:space="preserve">Relevant Trends</w:t>
      </w:r>
    </w:p>
    <w:p>
      <w:pPr>
        <w:spacing w:after="120" w:line="276"/>
      </w:pPr>
      <w:r>
        <w:rPr>
          <w:rFonts w:ascii="Calibri" w:cs="Calibri" w:eastAsia="Calibri" w:hAnsi="Calibri"/>
          <w:sz w:val="22"/>
          <w:szCs w:val="22"/>
        </w:rPr>
        <w:t xml:space="preserve">Adoption signals are strong on the payer side. Deloitte’s 2026 US Health Care Outlook reports that over 80% of healthcare executives expect agentic and generative AI to deliver moderate-to-significant value across clinical, business, and back-office functions in 2026, with 98% expecting at least 10% cost savings (Deloitte, 2026). Gartner’s 2026 prediction goes further, projecting that U.S. healthcare payers will move agentic AI from experimentation into core transformation strategy under sustained cost, regulatory, and administrative pressure (Cohere Health, 2026). On the technical side, peer-reviewed work shows that combining machine learning, NLP, and anomaly detection frameworks meaningfully reduces improper payments and accelerates payment-integrity audits (Frontiers in CS &amp; AI, 2026; Charta Health, 2026). Cotiviti’s own published positioning aligns with this direction: AI is framed as a tool to identify patterns and support expert reviewers, not to replace clinical judgment (Cotiviti, 2026a).</w:t>
      </w:r>
    </w:p>
    <w:p>
      <w:pPr>
        <w:spacing w:after="80" w:before="160"/>
      </w:pPr>
      <w:r>
        <w:rPr>
          <w:rFonts w:ascii="Calibri" w:cs="Calibri" w:eastAsia="Calibri" w:hAnsi="Calibri"/>
          <w:b/>
          <w:bCs/>
          <w:color w:val="000000"/>
          <w:sz w:val="24"/>
          <w:szCs w:val="24"/>
        </w:rPr>
        <w:t xml:space="preserve">Opportunities</w:t>
      </w:r>
    </w:p>
    <w:p>
      <w:pPr>
        <w:pStyle w:val="ListParagraph"/>
        <w:numPr>
          <w:ilvl w:val="0"/>
          <w:numId w:val="2"/>
        </w:numPr>
        <w:spacing w:after="80" w:line="276"/>
      </w:pPr>
      <w:r>
        <w:rPr>
          <w:rFonts w:ascii="Calibri" w:cs="Calibri" w:eastAsia="Calibri" w:hAnsi="Calibri"/>
          <w:b/>
          <w:bCs/>
          <w:sz w:val="22"/>
          <w:szCs w:val="22"/>
        </w:rPr>
        <w:t xml:space="preserve">Higher-precision claim selection: </w:t>
      </w:r>
      <w:r>
        <w:rPr>
          <w:rFonts w:ascii="Calibri" w:cs="Calibri" w:eastAsia="Calibri" w:hAnsi="Calibri"/>
          <w:sz w:val="22"/>
          <w:szCs w:val="22"/>
        </w:rPr>
        <w:t xml:space="preserve">Agentic pipelines can layer unsupervised anomaly detection with LLM reasoning over policy, history, and provider context, reducing false positives that drive provider abrasion.</w:t>
      </w:r>
    </w:p>
    <w:p>
      <w:pPr>
        <w:pStyle w:val="ListParagraph"/>
        <w:numPr>
          <w:ilvl w:val="0"/>
          <w:numId w:val="2"/>
        </w:numPr>
        <w:spacing w:after="80" w:line="276"/>
      </w:pPr>
      <w:r>
        <w:rPr>
          <w:rFonts w:ascii="Calibri" w:cs="Calibri" w:eastAsia="Calibri" w:hAnsi="Calibri"/>
          <w:b/>
          <w:bCs/>
          <w:sz w:val="22"/>
          <w:szCs w:val="22"/>
        </w:rPr>
        <w:t xml:space="preserve">Explainability by construction: </w:t>
      </w:r>
      <w:r>
        <w:rPr>
          <w:rFonts w:ascii="Calibri" w:cs="Calibri" w:eastAsia="Calibri" w:hAnsi="Calibri"/>
          <w:sz w:val="22"/>
          <w:szCs w:val="22"/>
        </w:rPr>
        <w:t xml:space="preserve">LLM agents can emit structured rationales linked to specific policy clauses, addressing the persistent explainability gap in unsupervised models.</w:t>
      </w:r>
    </w:p>
    <w:p>
      <w:pPr>
        <w:pStyle w:val="ListParagraph"/>
        <w:numPr>
          <w:ilvl w:val="0"/>
          <w:numId w:val="2"/>
        </w:numPr>
        <w:spacing w:after="80" w:line="276"/>
      </w:pPr>
      <w:r>
        <w:rPr>
          <w:rFonts w:ascii="Calibri" w:cs="Calibri" w:eastAsia="Calibri" w:hAnsi="Calibri"/>
          <w:b/>
          <w:bCs/>
          <w:sz w:val="22"/>
          <w:szCs w:val="22"/>
        </w:rPr>
        <w:t xml:space="preserve">Faster operational throughput: </w:t>
      </w:r>
      <w:r>
        <w:rPr>
          <w:rFonts w:ascii="Calibri" w:cs="Calibri" w:eastAsia="Calibri" w:hAnsi="Calibri"/>
          <w:sz w:val="22"/>
          <w:szCs w:val="22"/>
        </w:rPr>
        <w:t xml:space="preserve">Agents can auto-draft reviewer notes, summarize medical records, and route only the ambiguous cases to humans, expanding analyst capacity without proportionally expanding headcount.</w:t>
      </w:r>
    </w:p>
    <w:p>
      <w:pPr>
        <w:pStyle w:val="ListParagraph"/>
        <w:numPr>
          <w:ilvl w:val="0"/>
          <w:numId w:val="2"/>
        </w:numPr>
        <w:spacing w:after="80" w:line="276"/>
      </w:pPr>
      <w:r>
        <w:rPr>
          <w:rFonts w:ascii="Calibri" w:cs="Calibri" w:eastAsia="Calibri" w:hAnsi="Calibri"/>
          <w:b/>
          <w:bCs/>
          <w:sz w:val="22"/>
          <w:szCs w:val="22"/>
        </w:rPr>
        <w:t xml:space="preserve">Adaptive defense against AI-driven fraud: </w:t>
      </w:r>
      <w:r>
        <w:rPr>
          <w:rFonts w:ascii="Calibri" w:cs="Calibri" w:eastAsia="Calibri" w:hAnsi="Calibri"/>
          <w:sz w:val="22"/>
          <w:szCs w:val="22"/>
        </w:rPr>
        <w:t xml:space="preserve">As fraudsters use generative tools to produce synthetic documentation, payers need detection layers that can reason across text, codes, and behavior at machine speed (ITIJ, 2026).</w:t>
      </w:r>
    </w:p>
    <w:p>
      <w:pPr>
        <w:spacing w:after="80" w:before="160"/>
      </w:pPr>
      <w:r>
        <w:rPr>
          <w:rFonts w:ascii="Calibri" w:cs="Calibri" w:eastAsia="Calibri" w:hAnsi="Calibri"/>
          <w:b/>
          <w:bCs/>
          <w:color w:val="000000"/>
          <w:sz w:val="24"/>
          <w:szCs w:val="24"/>
        </w:rPr>
        <w:t xml:space="preserve">Threats and Risks</w:t>
      </w:r>
    </w:p>
    <w:p>
      <w:pPr>
        <w:pStyle w:val="ListParagraph"/>
        <w:numPr>
          <w:ilvl w:val="0"/>
          <w:numId w:val="2"/>
        </w:numPr>
        <w:spacing w:after="80" w:line="276"/>
      </w:pPr>
      <w:r>
        <w:rPr>
          <w:rFonts w:ascii="Calibri" w:cs="Calibri" w:eastAsia="Calibri" w:hAnsi="Calibri"/>
          <w:b/>
          <w:bCs/>
          <w:sz w:val="22"/>
          <w:szCs w:val="22"/>
        </w:rPr>
        <w:t xml:space="preserve">Hallucination and silent failure: </w:t>
      </w:r>
      <w:r>
        <w:rPr>
          <w:rFonts w:ascii="Calibri" w:cs="Calibri" w:eastAsia="Calibri" w:hAnsi="Calibri"/>
          <w:sz w:val="22"/>
          <w:szCs w:val="22"/>
        </w:rPr>
        <w:t xml:space="preserve">LLMs can produce confident but incorrect rationales; without structured grounding to policy and historical data, agents risk pending legitimate claims.</w:t>
      </w:r>
    </w:p>
    <w:p>
      <w:pPr>
        <w:pStyle w:val="ListParagraph"/>
        <w:numPr>
          <w:ilvl w:val="0"/>
          <w:numId w:val="2"/>
        </w:numPr>
        <w:spacing w:after="80" w:line="276"/>
      </w:pPr>
      <w:r>
        <w:rPr>
          <w:rFonts w:ascii="Calibri" w:cs="Calibri" w:eastAsia="Calibri" w:hAnsi="Calibri"/>
          <w:b/>
          <w:bCs/>
          <w:sz w:val="22"/>
          <w:szCs w:val="22"/>
        </w:rPr>
        <w:t xml:space="preserve">Regulatory and audit exposure: </w:t>
      </w:r>
      <w:r>
        <w:rPr>
          <w:rFonts w:ascii="Calibri" w:cs="Calibri" w:eastAsia="Calibri" w:hAnsi="Calibri"/>
          <w:sz w:val="22"/>
          <w:szCs w:val="22"/>
        </w:rPr>
        <w:t xml:space="preserve">HIPAA, CMS, and state-level rules require defensible, reproducible decisioning. Non-deterministic agents need rigorous logging, versioning, and human-in-the-loop checkpoints.</w:t>
      </w:r>
    </w:p>
    <w:p>
      <w:pPr>
        <w:pStyle w:val="ListParagraph"/>
        <w:numPr>
          <w:ilvl w:val="0"/>
          <w:numId w:val="2"/>
        </w:numPr>
        <w:spacing w:after="80" w:line="276"/>
      </w:pPr>
      <w:r>
        <w:rPr>
          <w:rFonts w:ascii="Calibri" w:cs="Calibri" w:eastAsia="Calibri" w:hAnsi="Calibri"/>
          <w:b/>
          <w:bCs/>
          <w:sz w:val="22"/>
          <w:szCs w:val="22"/>
        </w:rPr>
        <w:t xml:space="preserve">Provider abrasion: </w:t>
      </w:r>
      <w:r>
        <w:rPr>
          <w:rFonts w:ascii="Calibri" w:cs="Calibri" w:eastAsia="Calibri" w:hAnsi="Calibri"/>
          <w:sz w:val="22"/>
          <w:szCs w:val="22"/>
        </w:rPr>
        <w:t xml:space="preserve">Aggressive automated denials erode payer-provider relationships; agentic systems must be tuned for precision, not recall alone.</w:t>
      </w:r>
    </w:p>
    <w:p>
      <w:pPr>
        <w:pStyle w:val="ListParagraph"/>
        <w:numPr>
          <w:ilvl w:val="0"/>
          <w:numId w:val="2"/>
        </w:numPr>
        <w:spacing w:after="80" w:line="276"/>
      </w:pPr>
      <w:r>
        <w:rPr>
          <w:rFonts w:ascii="Calibri" w:cs="Calibri" w:eastAsia="Calibri" w:hAnsi="Calibri"/>
          <w:b/>
          <w:bCs/>
          <w:sz w:val="22"/>
          <w:szCs w:val="22"/>
        </w:rPr>
        <w:t xml:space="preserve">Adversarial generative fraud: </w:t>
      </w:r>
      <w:r>
        <w:rPr>
          <w:rFonts w:ascii="Calibri" w:cs="Calibri" w:eastAsia="Calibri" w:hAnsi="Calibri"/>
          <w:sz w:val="22"/>
          <w:szCs w:val="22"/>
        </w:rPr>
        <w:t xml:space="preserve">Synthetic medical documents and AI-assisted upcoding are emerging risks that traditional rule-based engines cannot keep up with.</w:t>
      </w:r>
    </w:p>
    <w:p>
      <w:pPr>
        <w:spacing w:after="80" w:before="160"/>
      </w:pPr>
      <w:r>
        <w:rPr>
          <w:rFonts w:ascii="Calibri" w:cs="Calibri" w:eastAsia="Calibri" w:hAnsi="Calibri"/>
          <w:b/>
          <w:bCs/>
          <w:color w:val="000000"/>
          <w:sz w:val="24"/>
          <w:szCs w:val="24"/>
        </w:rPr>
        <w:t xml:space="preserve">Strategic Options for Cotiviti</w:t>
      </w:r>
    </w:p>
    <w:p>
      <w:pPr>
        <w:spacing w:after="120" w:line="276"/>
      </w:pPr>
      <w:r>
        <w:rPr>
          <w:rFonts w:ascii="Calibri" w:cs="Calibri" w:eastAsia="Calibri" w:hAnsi="Calibri"/>
          <w:b/>
          <w:bCs/>
          <w:sz w:val="22"/>
          <w:szCs w:val="22"/>
        </w:rPr>
        <w:t xml:space="preserve">Option 1. Embed an agentic reasoning layer on top of existing payment-integrity products. </w:t>
      </w:r>
      <w:r>
        <w:rPr>
          <w:rFonts w:ascii="Calibri" w:cs="Calibri" w:eastAsia="Calibri" w:hAnsi="Calibri"/>
          <w:sz w:val="22"/>
          <w:szCs w:val="22"/>
        </w:rPr>
        <w:t xml:space="preserve">Cotiviti’s Data Mining, Clinical Chart Validation, and Coding Validation lines already produce flagged claims at scale. An LLM-powered reasoning layer can ingest each flag, pull policy and member history, and emit a structured “Investigate / Clear / Escalate” recommendation with citations to the relevant policy clauses. This turns each flag into a decision-ready package for a reviewer, compressing handle time without removing the human in the loop.</w:t>
      </w:r>
    </w:p>
    <w:p>
      <w:pPr>
        <w:spacing w:after="120" w:line="276"/>
      </w:pPr>
      <w:r>
        <w:rPr>
          <w:rFonts w:ascii="Calibri" w:cs="Calibri" w:eastAsia="Calibri" w:hAnsi="Calibri"/>
          <w:b/>
          <w:bCs/>
          <w:sz w:val="22"/>
          <w:szCs w:val="22"/>
        </w:rPr>
        <w:t xml:space="preserve">Option 2. Launch an “Agentic FWA Sentinel” service. </w:t>
      </w:r>
      <w:r>
        <w:rPr>
          <w:rFonts w:ascii="Calibri" w:cs="Calibri" w:eastAsia="Calibri" w:hAnsi="Calibri"/>
          <w:sz w:val="22"/>
          <w:szCs w:val="22"/>
        </w:rPr>
        <w:t xml:space="preserve">Combine unsupervised time-series anomaly detection (e.g., isolation forests over per-provider claim distributions) with an LLM agent that explains anomalies in clinical and policy terms. Position this as a forward-deployed capability against AI-assisted fraud and synthetic documentation, complementing Cotiviti’s existing FWA practice and reinforcing its “AI as tool, expert as decider” positioning (Cotiviti, 2026b).</w:t>
      </w:r>
    </w:p>
    <w:p>
      <w:pPr>
        <w:spacing w:after="120" w:line="276"/>
      </w:pPr>
      <w:r>
        <w:rPr>
          <w:rFonts w:ascii="Calibri" w:cs="Calibri" w:eastAsia="Calibri" w:hAnsi="Calibri"/>
          <w:sz w:val="22"/>
          <w:szCs w:val="22"/>
        </w:rPr>
        <w:t xml:space="preserve">Both options are buildable on top of Cotiviti’s existing data assets and review workflows, are defensible to regulators because they retain human adjudication, and directly compound the differentiation Cotiviti already holds against software-only entrants in the payment-integrity market.</w:t>
      </w:r>
    </w:p>
    <w:p>
      <w:r>
        <w:br w:type="page"/>
      </w:r>
    </w:p>
    <w:p>
      <w:pPr>
        <w:spacing w:after="80" w:before="160"/>
      </w:pPr>
      <w:r>
        <w:rPr>
          <w:rFonts w:ascii="Calibri" w:cs="Calibri" w:eastAsia="Calibri" w:hAnsi="Calibri"/>
          <w:b/>
          <w:bCs/>
          <w:color w:val="000000"/>
          <w:sz w:val="24"/>
          <w:szCs w:val="24"/>
        </w:rPr>
        <w:t xml:space="preserve">References</w:t>
      </w:r>
    </w:p>
    <w:p>
      <w:pPr>
        <w:spacing w:after="140" w:line="276"/>
        <w:ind w:left="720" w:hanging="720"/>
      </w:pPr>
      <w:r>
        <w:rPr>
          <w:rFonts w:ascii="Calibri" w:cs="Calibri" w:eastAsia="Calibri" w:hAnsi="Calibri"/>
          <w:sz w:val="22"/>
          <w:szCs w:val="22"/>
        </w:rPr>
        <w:t xml:space="preserve">Charta Health. (2026, May 20). </w:t>
      </w:r>
      <w:r>
        <w:rPr>
          <w:rFonts w:ascii="Calibri" w:cs="Calibri" w:eastAsia="Calibri" w:hAnsi="Calibri"/>
          <w:i/>
          <w:iCs/>
          <w:sz w:val="22"/>
          <w:szCs w:val="22"/>
        </w:rPr>
        <w:t xml:space="preserve">Payer audit risk and AI: What healthcare providers need to know</w:t>
      </w:r>
      <w:r>
        <w:rPr>
          <w:rFonts w:ascii="Calibri" w:cs="Calibri" w:eastAsia="Calibri" w:hAnsi="Calibri"/>
          <w:sz w:val="22"/>
          <w:szCs w:val="22"/>
        </w:rPr>
        <w:t xml:space="preserve">. </w:t>
      </w:r>
      <w:hyperlink w:history="1" r:id="rIdzizsbmwturx-tdpde8cov">
        <w:r>
          <w:rPr>
            <w:rStyle w:val="Hyperlink"/>
            <w:rFonts w:ascii="Calibri" w:cs="Calibri" w:eastAsia="Calibri" w:hAnsi="Calibri"/>
            <w:color w:val="0563C1"/>
            <w:sz w:val="22"/>
            <w:szCs w:val="22"/>
            <w:u w:val="single"/>
          </w:rPr>
          <w:t xml:space="preserve">https://www.chartahealth.com/resources/payer-healthcare-claims-audits-ai</w:t>
        </w:r>
      </w:hyperlink>
    </w:p>
    <w:p>
      <w:pPr>
        <w:spacing w:after="140" w:line="276"/>
        <w:ind w:left="720" w:hanging="720"/>
      </w:pPr>
      <w:r>
        <w:rPr>
          <w:rFonts w:ascii="Calibri" w:cs="Calibri" w:eastAsia="Calibri" w:hAnsi="Calibri"/>
          <w:sz w:val="22"/>
          <w:szCs w:val="22"/>
        </w:rPr>
        <w:t xml:space="preserve">Cohere Health. (2026, February 27). </w:t>
      </w:r>
      <w:r>
        <w:rPr>
          <w:rFonts w:ascii="Calibri" w:cs="Calibri" w:eastAsia="Calibri" w:hAnsi="Calibri"/>
          <w:i/>
          <w:iCs/>
          <w:sz w:val="22"/>
          <w:szCs w:val="22"/>
        </w:rPr>
        <w:t xml:space="preserve">Agentic AI for health plans: Key Gartner 2026 insights</w:t>
      </w:r>
      <w:r>
        <w:rPr>
          <w:rFonts w:ascii="Calibri" w:cs="Calibri" w:eastAsia="Calibri" w:hAnsi="Calibri"/>
          <w:sz w:val="22"/>
          <w:szCs w:val="22"/>
        </w:rPr>
        <w:t xml:space="preserve">. </w:t>
      </w:r>
      <w:hyperlink w:history="1" r:id="rIdwfbj5azu-t97qtbzwef9w">
        <w:r>
          <w:rPr>
            <w:rStyle w:val="Hyperlink"/>
            <w:rFonts w:ascii="Calibri" w:cs="Calibri" w:eastAsia="Calibri" w:hAnsi="Calibri"/>
            <w:color w:val="0563C1"/>
            <w:sz w:val="22"/>
            <w:szCs w:val="22"/>
            <w:u w:val="single"/>
          </w:rPr>
          <w:t xml:space="preserve">https://www.coherehealth.com/blog/agentic-ai-health-plans-gartner-2026-insights</w:t>
        </w:r>
      </w:hyperlink>
    </w:p>
    <w:p>
      <w:pPr>
        <w:spacing w:after="140" w:line="276"/>
        <w:ind w:left="720" w:hanging="720"/>
      </w:pPr>
      <w:r>
        <w:rPr>
          <w:rFonts w:ascii="Calibri" w:cs="Calibri" w:eastAsia="Calibri" w:hAnsi="Calibri"/>
          <w:sz w:val="22"/>
          <w:szCs w:val="22"/>
        </w:rPr>
        <w:t xml:space="preserve">Cotiviti. (2026a). </w:t>
      </w:r>
      <w:r>
        <w:rPr>
          <w:rFonts w:ascii="Calibri" w:cs="Calibri" w:eastAsia="Calibri" w:hAnsi="Calibri"/>
          <w:i/>
          <w:iCs/>
          <w:sz w:val="22"/>
          <w:szCs w:val="22"/>
        </w:rPr>
        <w:t xml:space="preserve">Future-proofing payment integrity</w:t>
      </w:r>
      <w:r>
        <w:rPr>
          <w:rFonts w:ascii="Calibri" w:cs="Calibri" w:eastAsia="Calibri" w:hAnsi="Calibri"/>
          <w:sz w:val="22"/>
          <w:szCs w:val="22"/>
        </w:rPr>
        <w:t xml:space="preserve"> [eBook]. </w:t>
      </w:r>
      <w:hyperlink w:history="1" r:id="rIdj-3zk019wyz6uniw7vm-k">
        <w:r>
          <w:rPr>
            <w:rStyle w:val="Hyperlink"/>
            <w:rFonts w:ascii="Calibri" w:cs="Calibri" w:eastAsia="Calibri" w:hAnsi="Calibri"/>
            <w:color w:val="0563C1"/>
            <w:sz w:val="22"/>
            <w:szCs w:val="22"/>
            <w:u w:val="single"/>
          </w:rPr>
          <w:t xml:space="preserve">https://blog.cotiviti.com/ebook-future-proofing-payment-integrity</w:t>
        </w:r>
      </w:hyperlink>
    </w:p>
    <w:p>
      <w:pPr>
        <w:spacing w:after="140" w:line="276"/>
        <w:ind w:left="720" w:hanging="720"/>
      </w:pPr>
      <w:r>
        <w:rPr>
          <w:rFonts w:ascii="Calibri" w:cs="Calibri" w:eastAsia="Calibri" w:hAnsi="Calibri"/>
          <w:sz w:val="22"/>
          <w:szCs w:val="22"/>
        </w:rPr>
        <w:t xml:space="preserve">Cotiviti. (2026b). </w:t>
      </w:r>
      <w:r>
        <w:rPr>
          <w:rFonts w:ascii="Calibri" w:cs="Calibri" w:eastAsia="Calibri" w:hAnsi="Calibri"/>
          <w:i/>
          <w:iCs/>
          <w:sz w:val="22"/>
          <w:szCs w:val="22"/>
        </w:rPr>
        <w:t xml:space="preserve">The practical landscape of AI in payment integrity and VBP</w:t>
      </w:r>
      <w:r>
        <w:rPr>
          <w:rFonts w:ascii="Calibri" w:cs="Calibri" w:eastAsia="Calibri" w:hAnsi="Calibri"/>
          <w:sz w:val="22"/>
          <w:szCs w:val="22"/>
        </w:rPr>
        <w:t xml:space="preserve">. </w:t>
      </w:r>
      <w:hyperlink w:history="1" r:id="rIdqsbotxrykhs24i5tgyzmu">
        <w:r>
          <w:rPr>
            <w:rStyle w:val="Hyperlink"/>
            <w:rFonts w:ascii="Calibri" w:cs="Calibri" w:eastAsia="Calibri" w:hAnsi="Calibri"/>
            <w:color w:val="0563C1"/>
            <w:sz w:val="22"/>
            <w:szCs w:val="22"/>
            <w:u w:val="single"/>
          </w:rPr>
          <w:t xml:space="preserve">https://resources.cotiviti.com/payment-integrity/the-practical-landscape-of-ai-in-payment-integrity-and-vbp</w:t>
        </w:r>
      </w:hyperlink>
    </w:p>
    <w:p>
      <w:pPr>
        <w:spacing w:after="140" w:line="276"/>
        <w:ind w:left="720" w:hanging="720"/>
      </w:pPr>
      <w:r>
        <w:rPr>
          <w:rFonts w:ascii="Calibri" w:cs="Calibri" w:eastAsia="Calibri" w:hAnsi="Calibri"/>
          <w:sz w:val="22"/>
          <w:szCs w:val="22"/>
        </w:rPr>
        <w:t xml:space="preserve">Cotiviti. (2025). </w:t>
      </w:r>
      <w:r>
        <w:rPr>
          <w:rFonts w:ascii="Calibri" w:cs="Calibri" w:eastAsia="Calibri" w:hAnsi="Calibri"/>
          <w:i/>
          <w:iCs/>
          <w:sz w:val="22"/>
          <w:szCs w:val="22"/>
        </w:rPr>
        <w:t xml:space="preserve">The evolving role of artificial intelligence in payment integrity</w:t>
      </w:r>
      <w:r>
        <w:rPr>
          <w:rFonts w:ascii="Calibri" w:cs="Calibri" w:eastAsia="Calibri" w:hAnsi="Calibri"/>
          <w:sz w:val="22"/>
          <w:szCs w:val="22"/>
        </w:rPr>
        <w:t xml:space="preserve"> [eBook]. </w:t>
      </w:r>
      <w:hyperlink w:history="1" r:id="rIdg14qs71rtneotjsjld7fr">
        <w:r>
          <w:rPr>
            <w:rStyle w:val="Hyperlink"/>
            <w:rFonts w:ascii="Calibri" w:cs="Calibri" w:eastAsia="Calibri" w:hAnsi="Calibri"/>
            <w:color w:val="0563C1"/>
            <w:sz w:val="22"/>
            <w:szCs w:val="22"/>
            <w:u w:val="single"/>
          </w:rPr>
          <w:t xml:space="preserve">https://resources.cotiviti.com/payment-integrity/the-evolving-role-of-artificial-intelligence-in-payment-integrity</w:t>
        </w:r>
      </w:hyperlink>
    </w:p>
    <w:p>
      <w:pPr>
        <w:spacing w:after="140" w:line="276"/>
        <w:ind w:left="720" w:hanging="720"/>
      </w:pPr>
      <w:r>
        <w:rPr>
          <w:rFonts w:ascii="Calibri" w:cs="Calibri" w:eastAsia="Calibri" w:hAnsi="Calibri"/>
          <w:sz w:val="22"/>
          <w:szCs w:val="22"/>
        </w:rPr>
        <w:t xml:space="preserve">Deloitte. (2026, April 16). </w:t>
      </w:r>
      <w:r>
        <w:rPr>
          <w:rFonts w:ascii="Calibri" w:cs="Calibri" w:eastAsia="Calibri" w:hAnsi="Calibri"/>
          <w:i/>
          <w:iCs/>
          <w:sz w:val="22"/>
          <w:szCs w:val="22"/>
        </w:rPr>
        <w:t xml:space="preserve">Many health care leaders are leaning into agentic AI as adoption hurdles ease</w:t>
      </w:r>
      <w:r>
        <w:rPr>
          <w:rFonts w:ascii="Calibri" w:cs="Calibri" w:eastAsia="Calibri" w:hAnsi="Calibri"/>
          <w:sz w:val="22"/>
          <w:szCs w:val="22"/>
        </w:rPr>
        <w:t xml:space="preserve">. Deloitte Insights. </w:t>
      </w:r>
      <w:hyperlink w:history="1" r:id="rIdjn0sx2kp6uvraaj41iwql">
        <w:r>
          <w:rPr>
            <w:rStyle w:val="Hyperlink"/>
            <w:rFonts w:ascii="Calibri" w:cs="Calibri" w:eastAsia="Calibri" w:hAnsi="Calibri"/>
            <w:color w:val="0563C1"/>
            <w:sz w:val="22"/>
            <w:szCs w:val="22"/>
            <w:u w:val="single"/>
          </w:rPr>
          <w:t xml:space="preserve">https://www.deloitte.com/us/en/insights/industry/health-care/agentic-ai-health-care-operating-model-change.html</w:t>
        </w:r>
      </w:hyperlink>
    </w:p>
    <w:p>
      <w:pPr>
        <w:spacing w:after="140" w:line="276"/>
        <w:ind w:left="720" w:hanging="720"/>
      </w:pPr>
      <w:r>
        <w:rPr>
          <w:rFonts w:ascii="Calibri" w:cs="Calibri" w:eastAsia="Calibri" w:hAnsi="Calibri"/>
          <w:sz w:val="22"/>
          <w:szCs w:val="22"/>
        </w:rPr>
        <w:t xml:space="preserve">Frontiers in Computer Science &amp; Artificial Intelligence. (2026, March 9). </w:t>
      </w:r>
      <w:r>
        <w:rPr>
          <w:rFonts w:ascii="Calibri" w:cs="Calibri" w:eastAsia="Calibri" w:hAnsi="Calibri"/>
          <w:i/>
          <w:iCs/>
          <w:sz w:val="22"/>
          <w:szCs w:val="22"/>
        </w:rPr>
        <w:t xml:space="preserve">AI- and data science–driven healthcare revenue optimization and payment integrity modeling in U.S. public and private insurance systems</w:t>
      </w:r>
      <w:r>
        <w:rPr>
          <w:rFonts w:ascii="Calibri" w:cs="Calibri" w:eastAsia="Calibri" w:hAnsi="Calibri"/>
          <w:sz w:val="22"/>
          <w:szCs w:val="22"/>
        </w:rPr>
        <w:t xml:space="preserve">, 5(4). </w:t>
      </w:r>
      <w:hyperlink w:history="1" r:id="rIdeswdctmgfxhh_sf01n1cv">
        <w:r>
          <w:rPr>
            <w:rStyle w:val="Hyperlink"/>
            <w:rFonts w:ascii="Calibri" w:cs="Calibri" w:eastAsia="Calibri" w:hAnsi="Calibri"/>
            <w:color w:val="0563C1"/>
            <w:sz w:val="22"/>
            <w:szCs w:val="22"/>
            <w:u w:val="single"/>
          </w:rPr>
          <w:t xml:space="preserve">https://al-kindipublishers.org/index.php/fcsai/article/view/12249</w:t>
        </w:r>
      </w:hyperlink>
    </w:p>
    <w:p>
      <w:pPr>
        <w:spacing w:after="140" w:line="276"/>
        <w:ind w:left="720" w:hanging="720"/>
      </w:pPr>
      <w:r>
        <w:rPr>
          <w:rFonts w:ascii="Calibri" w:cs="Calibri" w:eastAsia="Calibri" w:hAnsi="Calibri"/>
          <w:sz w:val="22"/>
          <w:szCs w:val="22"/>
        </w:rPr>
        <w:t xml:space="preserve">ITIJ. (2026, March 15). </w:t>
      </w:r>
      <w:r>
        <w:rPr>
          <w:rFonts w:ascii="Calibri" w:cs="Calibri" w:eastAsia="Calibri" w:hAnsi="Calibri"/>
          <w:i/>
          <w:iCs/>
          <w:sz w:val="22"/>
          <w:szCs w:val="22"/>
        </w:rPr>
        <w:t xml:space="preserve">AI deepfake detection tool targets surge in synthetic medical claims fraud</w:t>
      </w:r>
      <w:r>
        <w:rPr>
          <w:rFonts w:ascii="Calibri" w:cs="Calibri" w:eastAsia="Calibri" w:hAnsi="Calibri"/>
          <w:sz w:val="22"/>
          <w:szCs w:val="22"/>
        </w:rPr>
        <w:t xml:space="preserve">. </w:t>
      </w:r>
      <w:hyperlink w:history="1" r:id="rIdjlfbvdy5y41wjwwduohd4">
        <w:r>
          <w:rPr>
            <w:rStyle w:val="Hyperlink"/>
            <w:rFonts w:ascii="Calibri" w:cs="Calibri" w:eastAsia="Calibri" w:hAnsi="Calibri"/>
            <w:color w:val="0563C1"/>
            <w:sz w:val="22"/>
            <w:szCs w:val="22"/>
            <w:u w:val="single"/>
          </w:rPr>
          <w:t xml:space="preserve">https://www.itij.com/latest/news/ai-deepfake-detection-tool-targets-surge-synthetic-medical-claims-fraud</w:t>
        </w:r>
      </w:hyperlink>
    </w:p>
    <w:p>
      <w:pPr>
        <w:spacing w:after="140" w:line="276"/>
        <w:ind w:left="720" w:hanging="720"/>
      </w:pPr>
      <w:r>
        <w:rPr>
          <w:rFonts w:ascii="Calibri" w:cs="Calibri" w:eastAsia="Calibri" w:hAnsi="Calibri"/>
          <w:sz w:val="22"/>
          <w:szCs w:val="22"/>
        </w:rPr>
        <w:t xml:space="preserve">Philips. (2026, April 30). </w:t>
      </w:r>
      <w:r>
        <w:rPr>
          <w:rFonts w:ascii="Calibri" w:cs="Calibri" w:eastAsia="Calibri" w:hAnsi="Calibri"/>
          <w:i/>
          <w:iCs/>
          <w:sz w:val="22"/>
          <w:szCs w:val="22"/>
        </w:rPr>
        <w:t xml:space="preserve">Emerging healthcare AI trends in 2026 so far</w:t>
      </w:r>
      <w:r>
        <w:rPr>
          <w:rFonts w:ascii="Calibri" w:cs="Calibri" w:eastAsia="Calibri" w:hAnsi="Calibri"/>
          <w:sz w:val="22"/>
          <w:szCs w:val="22"/>
        </w:rPr>
        <w:t xml:space="preserve">. </w:t>
      </w:r>
      <w:hyperlink w:history="1" r:id="rId-qrrjjqeurzqv-dmjgjlp">
        <w:r>
          <w:rPr>
            <w:rStyle w:val="Hyperlink"/>
            <w:rFonts w:ascii="Calibri" w:cs="Calibri" w:eastAsia="Calibri" w:hAnsi="Calibri"/>
            <w:color w:val="0563C1"/>
            <w:sz w:val="22"/>
            <w:szCs w:val="22"/>
            <w:u w:val="single"/>
          </w:rPr>
          <w:t xml:space="preserve">https://www.philips.com/a-w/about/news/archive/features/2026/this-years-emerging-trends-in-healthcare-ai-so-far.html</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zsbmwturx-tdpde8cov" Type="http://schemas.openxmlformats.org/officeDocument/2006/relationships/hyperlink" Target="https://www.chartahealth.com/resources/payer-healthcare-claims-audits-ai" TargetMode="External"/><Relationship Id="rIdwfbj5azu-t97qtbzwef9w" Type="http://schemas.openxmlformats.org/officeDocument/2006/relationships/hyperlink" Target="https://www.coherehealth.com/blog/agentic-ai-health-plans-gartner-2026-insights" TargetMode="External"/><Relationship Id="rIdj-3zk019wyz6uniw7vm-k" Type="http://schemas.openxmlformats.org/officeDocument/2006/relationships/hyperlink" Target="https://blog.cotiviti.com/ebook-future-proofing-payment-integrity" TargetMode="External"/><Relationship Id="rIdqsbotxrykhs24i5tgyzmu" Type="http://schemas.openxmlformats.org/officeDocument/2006/relationships/hyperlink" Target="https://resources.cotiviti.com/payment-integrity/the-practical-landscape-of-ai-in-payment-integrity-and-vbp" TargetMode="External"/><Relationship Id="rIdg14qs71rtneotjsjld7fr" Type="http://schemas.openxmlformats.org/officeDocument/2006/relationships/hyperlink" Target="https://resources.cotiviti.com/payment-integrity/the-evolving-role-of-artificial-intelligence-in-payment-integrity" TargetMode="External"/><Relationship Id="rIdjn0sx2kp6uvraaj41iwql" Type="http://schemas.openxmlformats.org/officeDocument/2006/relationships/hyperlink" Target="https://www.deloitte.com/us/en/insights/industry/health-care/agentic-ai-health-care-operating-model-change.html" TargetMode="External"/><Relationship Id="rIdeswdctmgfxhh_sf01n1cv" Type="http://schemas.openxmlformats.org/officeDocument/2006/relationships/hyperlink" Target="https://al-kindipublishers.org/index.php/fcsai/article/view/12249" TargetMode="External"/><Relationship Id="rIdjlfbvdy5y41wjwwduohd4" Type="http://schemas.openxmlformats.org/officeDocument/2006/relationships/hyperlink" Target="https://www.itij.com/latest/news/ai-deepfake-detection-tool-targets-surge-synthetic-medical-claims-fraud" TargetMode="External"/><Relationship Id="rId-qrrjjqeurzqv-dmjgjlp" Type="http://schemas.openxmlformats.org/officeDocument/2006/relationships/hyperlink" Target="https://www.philips.com/a-w/about/news/archive/features/2026/this-years-emerging-trends-in-healthcare-ai-so-far.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GenAI for Clinical Decision Making - Cotiviti Intern Assessment</dc:title>
  <dc:creator>Dhiraj Salunkhe</dc:creator>
  <cp:lastModifiedBy>Un-named</cp:lastModifiedBy>
  <cp:revision>1</cp:revision>
  <dcterms:created xsi:type="dcterms:W3CDTF">2026-06-26T18:58:16.813Z</dcterms:created>
  <dcterms:modified xsi:type="dcterms:W3CDTF">2026-06-26T18:58:16.813Z</dcterms:modified>
</cp:coreProperties>
</file>

<file path=docProps/custom.xml><?xml version="1.0" encoding="utf-8"?>
<Properties xmlns="http://schemas.openxmlformats.org/officeDocument/2006/custom-properties" xmlns:vt="http://schemas.openxmlformats.org/officeDocument/2006/docPropsVTypes"/>
</file>