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2A0FD" w14:textId="77777777" w:rsidR="00B64956" w:rsidRDefault="003E2B82" w:rsidP="005A0156">
      <w:pPr>
        <w:pStyle w:val="Heading1"/>
        <w:ind w:left="-709" w:firstLine="709"/>
        <w:jc w:val="center"/>
      </w:pPr>
      <w:r>
        <w:t>Medicare Claims Analytics: A Strategic Framework for Predictive Cost Optimization and Acute Care Prevention</w:t>
      </w:r>
    </w:p>
    <w:p w14:paraId="06C6EE78" w14:textId="77777777" w:rsidR="00B64956" w:rsidRDefault="003E2B82" w:rsidP="005A0156">
      <w:pPr>
        <w:pStyle w:val="Heading2"/>
        <w:spacing w:before="0"/>
        <w:jc w:val="both"/>
      </w:pPr>
      <w:r>
        <w:t>Executive Summary</w:t>
      </w:r>
    </w:p>
    <w:p w14:paraId="18B71C15" w14:textId="78AC16DE" w:rsidR="00B64956" w:rsidRDefault="003E2B82" w:rsidP="005A0156">
      <w:pPr>
        <w:pBdr>
          <w:top w:val="nil"/>
          <w:left w:val="nil"/>
          <w:bottom w:val="nil"/>
          <w:right w:val="nil"/>
          <w:between w:val="nil"/>
        </w:pBdr>
        <w:jc w:val="both"/>
      </w:pPr>
      <w:r>
        <w:t xml:space="preserve">The United States healthcare system stands at a critical juncture, characterized by an unsustainable trajectory of expenditure growth and an urgent imperative to transition from volume-based reimbursement to value-based care (VBC). In 2024, Medicare spending is projected to exceed $1 trillion, driven largely by a demographic shift toward an aging population and the increasing prevalence of chronic multimorbidity. The </w:t>
      </w:r>
      <w:proofErr w:type="spellStart"/>
      <w:r>
        <w:t>Centers</w:t>
      </w:r>
      <w:proofErr w:type="spellEnd"/>
      <w:r>
        <w:t xml:space="preserve"> for Medicare &amp; Medicaid Services (CMS) has identified acute care utilization (ACU)—specifically, unplanned hospital readmissions and emergency department (ED) visits</w:t>
      </w:r>
      <w:r w:rsidR="005A0156">
        <w:t xml:space="preserve"> </w:t>
      </w:r>
      <w:r>
        <w:t xml:space="preserve">as a primary driver of wasteful spending. These events, often termed "failures of maintenance" in the outpatient setting, represent not only a financial </w:t>
      </w:r>
      <w:proofErr w:type="spellStart"/>
      <w:r>
        <w:t>hemorrhage</w:t>
      </w:r>
      <w:proofErr w:type="spellEnd"/>
      <w:r>
        <w:t xml:space="preserve"> for the Medicare Trust Fund but also a profound failure in patient care coordination.</w:t>
      </w:r>
    </w:p>
    <w:p w14:paraId="43BD04BB" w14:textId="77777777" w:rsidR="00B64956" w:rsidRDefault="003E2B82" w:rsidP="005A0156">
      <w:pPr>
        <w:pBdr>
          <w:top w:val="nil"/>
          <w:left w:val="nil"/>
          <w:bottom w:val="nil"/>
          <w:right w:val="nil"/>
          <w:between w:val="nil"/>
        </w:pBdr>
        <w:jc w:val="both"/>
      </w:pPr>
      <w:r>
        <w:t xml:space="preserve">This research report presents a comprehensive analytical framework and a proposed technological solution, </w:t>
      </w:r>
      <w:proofErr w:type="spellStart"/>
      <w:r>
        <w:rPr>
          <w:b/>
          <w:bCs/>
        </w:rPr>
        <w:t>MediGuard</w:t>
      </w:r>
      <w:proofErr w:type="spellEnd"/>
      <w:r>
        <w:rPr>
          <w:b/>
          <w:bCs/>
        </w:rPr>
        <w:t xml:space="preserve"> AI</w:t>
      </w:r>
      <w:r>
        <w:t xml:space="preserve">, developed in response to the Medicare Claims Data Hackathon. The core objective of this initiative is to leverage historical administrative claims data to predict preventable acute care episodes before they occur. By </w:t>
      </w:r>
      <w:proofErr w:type="spellStart"/>
      <w:r>
        <w:t>analyzing</w:t>
      </w:r>
      <w:proofErr w:type="spellEnd"/>
      <w:r>
        <w:t xml:space="preserve"> the CMS Data Entrepreneurs’ Synthetic Public Use File (DE-SynPUF), specifically the 2008-2010 cohort, we have isolated specific patterns of clinical escalation that precede high-cost hospitalization events.</w:t>
      </w:r>
    </w:p>
    <w:p w14:paraId="456B4F21" w14:textId="77777777" w:rsidR="00B64956" w:rsidRDefault="003E2B82" w:rsidP="005A0156">
      <w:pPr>
        <w:pBdr>
          <w:top w:val="nil"/>
          <w:left w:val="nil"/>
          <w:bottom w:val="nil"/>
          <w:right w:val="nil"/>
          <w:between w:val="nil"/>
        </w:pBdr>
        <w:jc w:val="both"/>
      </w:pPr>
      <w:r>
        <w:t>Our analysis reveals that healthcare spending follows a rigorous power law, where approximately 5% of beneficiaries account for over 50% of total expenditures. This concentration of risk is not random; it is strongly correlated with specific combinations of chronic conditions (e.g., Heart Failure, COPD, and Diabetes) and fragmented patterns of outpatient engagement. Through the application of advanced machine learning techniques, specifically Gradient Boosted Decision Trees (</w:t>
      </w:r>
      <w:proofErr w:type="spellStart"/>
      <w:r>
        <w:t>XGBoost</w:t>
      </w:r>
      <w:proofErr w:type="spellEnd"/>
      <w:r>
        <w:t>), we demonstrate the ability to stratify beneficiaries by risk with an Area Under the Receiver Operating Characteristic (AUC-ROC) curve exceeding 0.81. This predictive capability allows for the deployment of targeted interventions, moving the care model from reactive crisis management to proactive disease stabilization.</w:t>
      </w:r>
    </w:p>
    <w:p w14:paraId="40C76C9F" w14:textId="77777777" w:rsidR="00B64956" w:rsidRDefault="003E2B82" w:rsidP="005A0156">
      <w:pPr>
        <w:pBdr>
          <w:top w:val="nil"/>
          <w:left w:val="nil"/>
          <w:bottom w:val="nil"/>
          <w:right w:val="nil"/>
          <w:between w:val="nil"/>
        </w:pBdr>
        <w:spacing w:after="225"/>
        <w:jc w:val="both"/>
      </w:pPr>
      <w:r>
        <w:t xml:space="preserve">The report details the end-to-end methodology, beginning with a rigorous Extract, Transform, Load (ETL) pipeline designed to handle the idiosyncrasies of administrative claims data. It proceeds to a deep exploratory data analysis (EDA) that uncovers the hidden drivers of cost, followed by a technical exposition of the feature engineering and </w:t>
      </w:r>
      <w:proofErr w:type="spellStart"/>
      <w:r>
        <w:t>modeling</w:t>
      </w:r>
      <w:proofErr w:type="spellEnd"/>
      <w:r>
        <w:t xml:space="preserve"> strategies employed. Finally, we present a robust business case, projecting that the implementation of </w:t>
      </w:r>
      <w:proofErr w:type="spellStart"/>
      <w:r>
        <w:t>MediGuard</w:t>
      </w:r>
      <w:proofErr w:type="spellEnd"/>
      <w:r>
        <w:t xml:space="preserve"> AI could yield millions in shared savings for Accountable Care Organizations (ACOs) while significantly improving beneficiary quality of life. The document concludes with a structured 20-slide presentation deck tailored for the hackathon’s evaluation criteria, emphasizing innovation, technical feasibility, and return on investment (ROI).</w:t>
      </w:r>
    </w:p>
    <w:p w14:paraId="3D9EDC1D" w14:textId="77777777" w:rsidR="00B64956" w:rsidRDefault="003E2B82" w:rsidP="005A0156">
      <w:pPr>
        <w:pStyle w:val="Heading2"/>
        <w:spacing w:before="0" w:after="240"/>
        <w:jc w:val="both"/>
      </w:pPr>
      <w:r>
        <w:t>1. Strategic Context and Problem Definition</w:t>
      </w:r>
    </w:p>
    <w:p w14:paraId="126F21E6" w14:textId="77777777" w:rsidR="00B64956" w:rsidRDefault="003E2B82" w:rsidP="005A0156">
      <w:pPr>
        <w:pStyle w:val="Heading3"/>
        <w:spacing w:before="0"/>
        <w:jc w:val="both"/>
      </w:pPr>
      <w:r>
        <w:t>1.1 The Macro-Economic Landscape of Medicare</w:t>
      </w:r>
    </w:p>
    <w:p w14:paraId="4C743478" w14:textId="77777777" w:rsidR="00B64956" w:rsidRDefault="003E2B82" w:rsidP="005A0156">
      <w:pPr>
        <w:pBdr>
          <w:top w:val="nil"/>
          <w:left w:val="nil"/>
          <w:bottom w:val="nil"/>
          <w:right w:val="nil"/>
          <w:between w:val="nil"/>
        </w:pBdr>
        <w:jc w:val="both"/>
      </w:pPr>
      <w:r>
        <w:t xml:space="preserve">The financial sustainability of the Medicare program is one of the defining domestic policy challenges of the 21st century. The Medicare Trustees Report consistently warns of the looming insolvency of the Hospital Insurance (Part A) trust fund, exacerbated by a shrinking ratio of workers to beneficiaries. In response, legislative frameworks such as the Medicare Access and CHIP Reauthorization Act (MACRA) of 2015 have accelerated </w:t>
      </w:r>
      <w:r>
        <w:lastRenderedPageBreak/>
        <w:t>the adoption of Alternative Payment Models (APMs). These models transfer financial risk from the payer (CMS) to the provider (Hospitals and Physicians), incentivizing the reduction of total cost of care.</w:t>
      </w:r>
    </w:p>
    <w:p w14:paraId="210DB71D" w14:textId="0C810D31" w:rsidR="00B64956" w:rsidRDefault="003E2B82" w:rsidP="005A0156">
      <w:pPr>
        <w:pBdr>
          <w:top w:val="nil"/>
          <w:left w:val="nil"/>
          <w:bottom w:val="nil"/>
          <w:right w:val="nil"/>
          <w:between w:val="nil"/>
        </w:pBdr>
        <w:spacing w:after="240"/>
        <w:jc w:val="both"/>
      </w:pPr>
      <w:r>
        <w:t xml:space="preserve">In this environment, "revenue" for a healthcare provider is no longer solely generated by performing services (Fee-for-Service). Instead, revenue is increasingly derived from </w:t>
      </w:r>
      <w:r>
        <w:rPr>
          <w:i/>
          <w:iCs/>
        </w:rPr>
        <w:t>shared savings</w:t>
      </w:r>
      <w:r w:rsidR="005A0156">
        <w:t xml:space="preserve"> </w:t>
      </w:r>
      <w:r>
        <w:t>the difference between a benchmark spending target and the actual cost of care for a managed population. Consequently, the ability to predict and prevent high-cost events has transformed from a clinical quality goal into a financial survival imperative for health systems.</w:t>
      </w:r>
    </w:p>
    <w:p w14:paraId="26368D02" w14:textId="77777777" w:rsidR="00B64956" w:rsidRDefault="003E2B82" w:rsidP="005A0156">
      <w:pPr>
        <w:pStyle w:val="Heading3"/>
        <w:spacing w:before="0"/>
        <w:jc w:val="both"/>
      </w:pPr>
      <w:r>
        <w:t>1.2 The Clinical Challenge: Preventable Acute Care Utilization</w:t>
      </w:r>
    </w:p>
    <w:p w14:paraId="15CC456B" w14:textId="77777777" w:rsidR="00B64956" w:rsidRDefault="003E2B82" w:rsidP="005A0156">
      <w:pPr>
        <w:pBdr>
          <w:top w:val="nil"/>
          <w:left w:val="nil"/>
          <w:bottom w:val="nil"/>
          <w:right w:val="nil"/>
          <w:between w:val="nil"/>
        </w:pBdr>
        <w:jc w:val="both"/>
      </w:pPr>
      <w:r>
        <w:t>The focal point of our analysis is Acute Care Utilization (ACU). ACU events encompass unplanned inpatient admissions, observation stays, and emergency department visits. While some acute events are inevitable (e.g., trauma, new oncologic diagnoses), a significant proportion—estimated between 35% and 67%—are preventable exacerbations of chronic conditions.</w:t>
      </w:r>
    </w:p>
    <w:p w14:paraId="588FDC7B" w14:textId="77777777" w:rsidR="00B64956" w:rsidRDefault="003E2B82" w:rsidP="005A0156">
      <w:pPr>
        <w:pBdr>
          <w:top w:val="nil"/>
          <w:left w:val="nil"/>
          <w:bottom w:val="nil"/>
          <w:right w:val="nil"/>
          <w:between w:val="nil"/>
        </w:pBdr>
        <w:spacing w:after="240"/>
        <w:jc w:val="both"/>
      </w:pPr>
      <w:r>
        <w:t>For example, a patient with Congestive Heart Failure (CHF) who experiences fluid overload and requires hospitalization often does so because of a cascade of outpatient failures: missed diuretic doses, high-sodium diet, or lack of timely symptom monitoring. If identified early, this patient could be managed in an outpatient clinic for a fraction of the cost of an inpatient stay. The financial disparity is stark: studies in oncology cohorts indicate that patients experiencing an ACU event incur average total costs of $17,031 over a 180-day episode, compared to just $9,591 for those who do not—a 77.5% cost premium driven largely by facility fees.</w:t>
      </w:r>
    </w:p>
    <w:p w14:paraId="220A46E2" w14:textId="77777777" w:rsidR="00B64956" w:rsidRDefault="003E2B82" w:rsidP="005A0156">
      <w:pPr>
        <w:pStyle w:val="Heading3"/>
        <w:spacing w:before="0"/>
        <w:jc w:val="both"/>
      </w:pPr>
      <w:r>
        <w:t>1.3 Problem Statement</w:t>
      </w:r>
    </w:p>
    <w:p w14:paraId="7F4E0AAA" w14:textId="77777777" w:rsidR="00B64956" w:rsidRDefault="003E2B82" w:rsidP="005A0156">
      <w:pPr>
        <w:pBdr>
          <w:top w:val="nil"/>
          <w:left w:val="nil"/>
          <w:bottom w:val="nil"/>
          <w:right w:val="nil"/>
          <w:between w:val="nil"/>
        </w:pBdr>
        <w:jc w:val="both"/>
      </w:pPr>
      <w:r>
        <w:t>The hackathon challenge requires a precise, actionable problem statement that addresses the "Triple Aim" of healthcare: improving experience, improving health, and reducing costs.</w:t>
      </w:r>
    </w:p>
    <w:p w14:paraId="6FFC0F4B" w14:textId="14A225A5" w:rsidR="00B64956" w:rsidRDefault="003E2B82" w:rsidP="005A0156">
      <w:pPr>
        <w:pBdr>
          <w:top w:val="nil"/>
          <w:left w:val="nil"/>
          <w:bottom w:val="nil"/>
          <w:right w:val="nil"/>
          <w:between w:val="nil"/>
        </w:pBdr>
        <w:jc w:val="both"/>
        <w:rPr>
          <w:i/>
          <w:iCs/>
        </w:rPr>
      </w:pPr>
      <w:r>
        <w:rPr>
          <w:b/>
          <w:bCs/>
        </w:rPr>
        <w:t>Selected Problem Statement:</w:t>
      </w:r>
      <w:r>
        <w:t xml:space="preserve"> </w:t>
      </w:r>
      <w:r>
        <w:rPr>
          <w:i/>
          <w:iCs/>
        </w:rPr>
        <w:t xml:space="preserve">"The current Medicare care delivery model is reactive, intervening only after high-cost acute failures occur. Providers lack the predictive intelligence required to identify which beneficiaries among the millions of </w:t>
      </w:r>
      <w:r w:rsidR="005A0156">
        <w:rPr>
          <w:i/>
          <w:iCs/>
        </w:rPr>
        <w:t>enrolees</w:t>
      </w:r>
      <w:r>
        <w:rPr>
          <w:i/>
          <w:iCs/>
        </w:rPr>
        <w:t xml:space="preserve"> are at imminent risk of hospitalization. This project seeks to develop </w:t>
      </w:r>
      <w:r w:rsidR="005A0156">
        <w:rPr>
          <w:b/>
          <w:bCs/>
          <w:i/>
          <w:iCs/>
        </w:rPr>
        <w:t>Medi Guard</w:t>
      </w:r>
      <w:r>
        <w:rPr>
          <w:b/>
          <w:bCs/>
          <w:i/>
          <w:iCs/>
        </w:rPr>
        <w:t xml:space="preserve"> AI</w:t>
      </w:r>
      <w:r>
        <w:rPr>
          <w:i/>
          <w:iCs/>
        </w:rPr>
        <w:t>, a machine-learning-driven clinical decision support system that leverages longitudinal claims data to predict preventable acute care utilization (readmissions and ED visits) in beneficiaries with multiple chronic conditions, thereby enabling cost-effective, proactive care management."</w:t>
      </w:r>
    </w:p>
    <w:p w14:paraId="33E3B40C" w14:textId="77777777" w:rsidR="00B64956" w:rsidRDefault="003E2B82" w:rsidP="005A0156">
      <w:pPr>
        <w:pBdr>
          <w:top w:val="nil"/>
          <w:left w:val="nil"/>
          <w:bottom w:val="nil"/>
          <w:right w:val="nil"/>
          <w:between w:val="nil"/>
        </w:pBdr>
        <w:jc w:val="both"/>
      </w:pPr>
      <w:r>
        <w:t>This statement directly targets the evaluation metrics:</w:t>
      </w:r>
    </w:p>
    <w:p w14:paraId="417EF751" w14:textId="0C7D3E46" w:rsidR="00B64956" w:rsidRDefault="003E2B82" w:rsidP="005A0156">
      <w:pPr>
        <w:numPr>
          <w:ilvl w:val="0"/>
          <w:numId w:val="1"/>
        </w:numPr>
        <w:pBdr>
          <w:top w:val="nil"/>
          <w:left w:val="nil"/>
          <w:bottom w:val="nil"/>
          <w:right w:val="nil"/>
          <w:between w:val="nil"/>
        </w:pBdr>
        <w:jc w:val="both"/>
      </w:pPr>
      <w:r>
        <w:rPr>
          <w:b/>
          <w:bCs/>
        </w:rPr>
        <w:t>Relevance:</w:t>
      </w:r>
      <w:r>
        <w:t xml:space="preserve"> Addresses the highest cost </w:t>
      </w:r>
      <w:r w:rsidR="005A0156">
        <w:t>centre</w:t>
      </w:r>
      <w:r>
        <w:t xml:space="preserve"> in Medicare (Inpatient/ER).</w:t>
      </w:r>
    </w:p>
    <w:p w14:paraId="3EE2B8CA" w14:textId="77777777" w:rsidR="00B64956" w:rsidRDefault="003E2B82" w:rsidP="005A0156">
      <w:pPr>
        <w:numPr>
          <w:ilvl w:val="0"/>
          <w:numId w:val="1"/>
        </w:numPr>
        <w:pBdr>
          <w:top w:val="nil"/>
          <w:left w:val="nil"/>
          <w:bottom w:val="nil"/>
          <w:right w:val="nil"/>
          <w:between w:val="nil"/>
        </w:pBdr>
        <w:jc w:val="both"/>
      </w:pPr>
      <w:r>
        <w:rPr>
          <w:b/>
          <w:bCs/>
        </w:rPr>
        <w:t>Feasibility:</w:t>
      </w:r>
      <w:r>
        <w:t xml:space="preserve"> Relies on structured administrative data (ICD codes, CPT codes, demographics) available in the SynPUF dataset.</w:t>
      </w:r>
    </w:p>
    <w:p w14:paraId="1AD7F979" w14:textId="77777777" w:rsidR="00B64956" w:rsidRDefault="003E2B82" w:rsidP="005A0156">
      <w:pPr>
        <w:numPr>
          <w:ilvl w:val="0"/>
          <w:numId w:val="1"/>
        </w:numPr>
        <w:pBdr>
          <w:top w:val="nil"/>
          <w:left w:val="nil"/>
          <w:bottom w:val="nil"/>
          <w:right w:val="nil"/>
          <w:between w:val="nil"/>
        </w:pBdr>
        <w:jc w:val="both"/>
      </w:pPr>
      <w:r>
        <w:rPr>
          <w:b/>
          <w:bCs/>
        </w:rPr>
        <w:t>Innovation:</w:t>
      </w:r>
      <w:r>
        <w:t xml:space="preserve"> Shifts the paradigm from retrospective reporting to prospective prediction.</w:t>
      </w:r>
    </w:p>
    <w:p w14:paraId="6A8A537F" w14:textId="77777777" w:rsidR="00B64956" w:rsidRDefault="003E2B82" w:rsidP="005A0156">
      <w:pPr>
        <w:pStyle w:val="Heading2"/>
        <w:spacing w:after="240"/>
        <w:jc w:val="both"/>
      </w:pPr>
      <w:r>
        <w:t>2. Data Ecosystem and Methodology</w:t>
      </w:r>
    </w:p>
    <w:p w14:paraId="57B22659" w14:textId="77777777" w:rsidR="00B64956" w:rsidRDefault="003E2B82" w:rsidP="005A0156">
      <w:pPr>
        <w:pStyle w:val="Heading3"/>
        <w:spacing w:before="0"/>
        <w:jc w:val="both"/>
      </w:pPr>
      <w:r>
        <w:t>2.1 Data Source: CMS DE-SynPUF</w:t>
      </w:r>
    </w:p>
    <w:p w14:paraId="6875FDCB" w14:textId="77777777" w:rsidR="00B64956" w:rsidRDefault="003E2B82" w:rsidP="005A0156">
      <w:pPr>
        <w:pBdr>
          <w:top w:val="nil"/>
          <w:left w:val="nil"/>
          <w:bottom w:val="nil"/>
          <w:right w:val="nil"/>
          <w:between w:val="nil"/>
        </w:pBdr>
        <w:jc w:val="both"/>
      </w:pPr>
      <w:r>
        <w:t xml:space="preserve">The analysis utilizes the </w:t>
      </w:r>
      <w:r>
        <w:rPr>
          <w:b/>
          <w:bCs/>
        </w:rPr>
        <w:t>CMS 2008-2010 Data Entrepreneurs’ Synthetic Public Use File (DE-SynPUF)</w:t>
      </w:r>
      <w:r>
        <w:t>. This dataset is a cornerstone for health services research and software development, designed to provide a realistic environment for data mining while rigorously protecting beneficiary privacy through synthetic alteration.</w:t>
      </w:r>
    </w:p>
    <w:p w14:paraId="1196504E" w14:textId="77777777" w:rsidR="00B64956" w:rsidRDefault="003E2B82" w:rsidP="005A0156">
      <w:pPr>
        <w:pBdr>
          <w:top w:val="nil"/>
          <w:left w:val="nil"/>
          <w:bottom w:val="nil"/>
          <w:right w:val="nil"/>
          <w:between w:val="nil"/>
        </w:pBdr>
        <w:spacing w:after="255"/>
        <w:jc w:val="both"/>
      </w:pPr>
      <w:r>
        <w:t>The DE-SynPUF is a relational database comprising five core file types, linked by a unique, synthetic beneficiary identifier (DESYNPUF_ID). Understanding the schema of these files is prerequisite to effective analysis.</w:t>
      </w:r>
    </w:p>
    <w:p w14:paraId="71D7B444" w14:textId="77777777" w:rsidR="005A0156" w:rsidRDefault="005A0156" w:rsidP="005A0156">
      <w:pPr>
        <w:pStyle w:val="Heading4"/>
        <w:spacing w:before="0"/>
        <w:jc w:val="both"/>
      </w:pPr>
    </w:p>
    <w:p w14:paraId="4E9387F8" w14:textId="738FE1D6" w:rsidR="00B64956" w:rsidRDefault="003E2B82" w:rsidP="005A0156">
      <w:pPr>
        <w:pStyle w:val="Heading4"/>
        <w:spacing w:before="0"/>
        <w:jc w:val="both"/>
      </w:pPr>
      <w:r>
        <w:lastRenderedPageBreak/>
        <w:t>2.1.1 Beneficiary Summary File</w:t>
      </w:r>
    </w:p>
    <w:p w14:paraId="0CD40173" w14:textId="6DD7316C" w:rsidR="00B64956" w:rsidRDefault="003E2B82" w:rsidP="005A0156">
      <w:pPr>
        <w:pBdr>
          <w:top w:val="nil"/>
          <w:left w:val="nil"/>
          <w:bottom w:val="nil"/>
          <w:right w:val="nil"/>
          <w:between w:val="nil"/>
        </w:pBdr>
        <w:jc w:val="both"/>
      </w:pPr>
      <w:r>
        <w:t xml:space="preserve">This file serves as the "anchor" for the analysis, containing </w:t>
      </w:r>
      <w:r w:rsidR="005A0156">
        <w:t>enrolment</w:t>
      </w:r>
      <w:r>
        <w:t xml:space="preserve"> and demographic data for each beneficiary for a given calendar year.</w:t>
      </w:r>
    </w:p>
    <w:p w14:paraId="3C484FC6" w14:textId="77777777" w:rsidR="00B64956" w:rsidRDefault="003E2B82" w:rsidP="003E2B82">
      <w:pPr>
        <w:numPr>
          <w:ilvl w:val="0"/>
          <w:numId w:val="13"/>
        </w:numPr>
        <w:pBdr>
          <w:top w:val="nil"/>
          <w:left w:val="nil"/>
          <w:bottom w:val="nil"/>
          <w:right w:val="nil"/>
          <w:between w:val="nil"/>
        </w:pBdr>
        <w:jc w:val="both"/>
      </w:pPr>
      <w:r>
        <w:rPr>
          <w:b/>
          <w:bCs/>
        </w:rPr>
        <w:t>Key Fields:</w:t>
      </w:r>
      <w:r>
        <w:t xml:space="preserve"> Date of Birth, Gender, Race, State Code, County Code.</w:t>
      </w:r>
    </w:p>
    <w:p w14:paraId="3D294535" w14:textId="77777777" w:rsidR="00B64956" w:rsidRDefault="003E2B82" w:rsidP="003E2B82">
      <w:pPr>
        <w:numPr>
          <w:ilvl w:val="0"/>
          <w:numId w:val="13"/>
        </w:numPr>
        <w:pBdr>
          <w:top w:val="nil"/>
          <w:left w:val="nil"/>
          <w:bottom w:val="nil"/>
          <w:right w:val="nil"/>
          <w:between w:val="nil"/>
        </w:pBdr>
        <w:jc w:val="both"/>
      </w:pPr>
      <w:r>
        <w:rPr>
          <w:b/>
          <w:bCs/>
        </w:rPr>
        <w:t>Chronic Condition Flags:</w:t>
      </w:r>
      <w:r>
        <w:t xml:space="preserve"> Binary indicators for 11 chronic conditions, including Alzheimer’s, Heart Failure, Diabetes, Cancer, and Kidney Disease. These flags are critical for risk stratification.</w:t>
      </w:r>
    </w:p>
    <w:p w14:paraId="7350D9C4" w14:textId="77777777" w:rsidR="00B64956" w:rsidRDefault="003E2B82" w:rsidP="003E2B82">
      <w:pPr>
        <w:numPr>
          <w:ilvl w:val="0"/>
          <w:numId w:val="13"/>
        </w:numPr>
        <w:pBdr>
          <w:top w:val="nil"/>
          <w:left w:val="nil"/>
          <w:bottom w:val="nil"/>
          <w:right w:val="nil"/>
          <w:between w:val="nil"/>
        </w:pBdr>
        <w:jc w:val="both"/>
      </w:pPr>
      <w:r>
        <w:rPr>
          <w:b/>
          <w:bCs/>
        </w:rPr>
        <w:t>Cost Summaries:</w:t>
      </w:r>
      <w:r>
        <w:t xml:space="preserve"> Annualized Medicare payments and beneficiary responsibility amounts, useful for establishing baseline spending patterns.</w:t>
      </w:r>
    </w:p>
    <w:p w14:paraId="7FBF3A65" w14:textId="77777777" w:rsidR="00B64956" w:rsidRDefault="003E2B82" w:rsidP="005A0156">
      <w:pPr>
        <w:pStyle w:val="Heading4"/>
        <w:jc w:val="both"/>
      </w:pPr>
      <w:r>
        <w:t>2.1.2 Inpatient Claims File</w:t>
      </w:r>
    </w:p>
    <w:p w14:paraId="6630412E" w14:textId="77777777" w:rsidR="00B64956" w:rsidRDefault="003E2B82" w:rsidP="005A0156">
      <w:pPr>
        <w:pBdr>
          <w:top w:val="nil"/>
          <w:left w:val="nil"/>
          <w:bottom w:val="nil"/>
          <w:right w:val="nil"/>
          <w:between w:val="nil"/>
        </w:pBdr>
        <w:jc w:val="both"/>
      </w:pPr>
      <w:r>
        <w:t xml:space="preserve">This file captures institutional claims for hospital admissions. It is the primary source for identifying the </w:t>
      </w:r>
      <w:r>
        <w:rPr>
          <w:i/>
          <w:iCs/>
        </w:rPr>
        <w:t>target variable</w:t>
      </w:r>
      <w:r>
        <w:t xml:space="preserve"> (readmissions).</w:t>
      </w:r>
    </w:p>
    <w:p w14:paraId="644171BA" w14:textId="77777777" w:rsidR="00B64956" w:rsidRDefault="003E2B82" w:rsidP="003E2B82">
      <w:pPr>
        <w:numPr>
          <w:ilvl w:val="0"/>
          <w:numId w:val="14"/>
        </w:numPr>
        <w:pBdr>
          <w:top w:val="nil"/>
          <w:left w:val="nil"/>
          <w:bottom w:val="nil"/>
          <w:right w:val="nil"/>
          <w:between w:val="nil"/>
        </w:pBdr>
        <w:jc w:val="both"/>
      </w:pPr>
      <w:r>
        <w:rPr>
          <w:b/>
          <w:bCs/>
        </w:rPr>
        <w:t>Key Fields:</w:t>
      </w:r>
      <w:r>
        <w:t xml:space="preserve"> Admission Date, Discharge Date, Length of Stay (LOS), Diagnosis Codes (ICD-9), Procedure Codes (ICD-9), DRG (Diagnosis Related Group) codes, and Claim Payment Amount.</w:t>
      </w:r>
    </w:p>
    <w:p w14:paraId="3DB4DB9D" w14:textId="77777777" w:rsidR="00B64956" w:rsidRDefault="003E2B82" w:rsidP="003E2B82">
      <w:pPr>
        <w:numPr>
          <w:ilvl w:val="0"/>
          <w:numId w:val="14"/>
        </w:numPr>
        <w:pBdr>
          <w:top w:val="nil"/>
          <w:left w:val="nil"/>
          <w:bottom w:val="nil"/>
          <w:right w:val="nil"/>
          <w:between w:val="nil"/>
        </w:pBdr>
        <w:jc w:val="both"/>
      </w:pPr>
      <w:r>
        <w:rPr>
          <w:b/>
          <w:bCs/>
        </w:rPr>
        <w:t>Relevance:</w:t>
      </w:r>
      <w:r>
        <w:t xml:space="preserve"> This file defines the "failure" events we are trying to predict.</w:t>
      </w:r>
    </w:p>
    <w:p w14:paraId="5E59F737" w14:textId="77777777" w:rsidR="00B64956" w:rsidRDefault="003E2B82" w:rsidP="005A0156">
      <w:pPr>
        <w:pStyle w:val="Heading4"/>
        <w:jc w:val="both"/>
      </w:pPr>
      <w:r>
        <w:t>2.1.3 Outpatient Claims File</w:t>
      </w:r>
    </w:p>
    <w:p w14:paraId="3C6DE960" w14:textId="77777777" w:rsidR="00B64956" w:rsidRDefault="003E2B82" w:rsidP="005A0156">
      <w:pPr>
        <w:pBdr>
          <w:top w:val="nil"/>
          <w:left w:val="nil"/>
          <w:bottom w:val="nil"/>
          <w:right w:val="nil"/>
          <w:between w:val="nil"/>
        </w:pBdr>
        <w:jc w:val="both"/>
      </w:pPr>
      <w:r>
        <w:t xml:space="preserve">This file captures institutional claims for ambulatory services, including hospital outpatient departments, dialysis </w:t>
      </w:r>
      <w:proofErr w:type="spellStart"/>
      <w:r>
        <w:t>centers</w:t>
      </w:r>
      <w:proofErr w:type="spellEnd"/>
      <w:r>
        <w:t xml:space="preserve">, and ambulatory surgical </w:t>
      </w:r>
      <w:proofErr w:type="spellStart"/>
      <w:r>
        <w:t>centers</w:t>
      </w:r>
      <w:proofErr w:type="spellEnd"/>
      <w:r>
        <w:t>.</w:t>
      </w:r>
    </w:p>
    <w:p w14:paraId="5F9ECD08" w14:textId="77777777" w:rsidR="00B64956" w:rsidRDefault="003E2B82" w:rsidP="003E2B82">
      <w:pPr>
        <w:numPr>
          <w:ilvl w:val="0"/>
          <w:numId w:val="15"/>
        </w:numPr>
        <w:pBdr>
          <w:top w:val="nil"/>
          <w:left w:val="nil"/>
          <w:bottom w:val="nil"/>
          <w:right w:val="nil"/>
          <w:between w:val="nil"/>
        </w:pBdr>
        <w:jc w:val="both"/>
      </w:pPr>
      <w:r>
        <w:rPr>
          <w:b/>
          <w:bCs/>
        </w:rPr>
        <w:t>Key Fields:</w:t>
      </w:r>
      <w:r>
        <w:t xml:space="preserve"> Revenue </w:t>
      </w:r>
      <w:proofErr w:type="spellStart"/>
      <w:r>
        <w:t>Center</w:t>
      </w:r>
      <w:proofErr w:type="spellEnd"/>
      <w:r>
        <w:t xml:space="preserve"> Codes, HCPCS (Healthcare Common Procedure Coding System) codes, Diagnosis Codes.</w:t>
      </w:r>
    </w:p>
    <w:p w14:paraId="6A2C9ED8" w14:textId="77777777" w:rsidR="00B64956" w:rsidRDefault="003E2B82" w:rsidP="003E2B82">
      <w:pPr>
        <w:numPr>
          <w:ilvl w:val="0"/>
          <w:numId w:val="15"/>
        </w:numPr>
        <w:pBdr>
          <w:top w:val="nil"/>
          <w:left w:val="nil"/>
          <w:bottom w:val="nil"/>
          <w:right w:val="nil"/>
          <w:between w:val="nil"/>
        </w:pBdr>
        <w:jc w:val="both"/>
      </w:pPr>
      <w:r>
        <w:rPr>
          <w:b/>
          <w:bCs/>
        </w:rPr>
        <w:t>Relevance:</w:t>
      </w:r>
      <w:r>
        <w:t xml:space="preserve"> High frequency of outpatient visits can be a predictor of engagement, while a sudden cessation of visits might indicate a gap in care.</w:t>
      </w:r>
    </w:p>
    <w:p w14:paraId="4CD6B6BC" w14:textId="77777777" w:rsidR="00B64956" w:rsidRDefault="003E2B82" w:rsidP="005A0156">
      <w:pPr>
        <w:pStyle w:val="Heading4"/>
        <w:jc w:val="both"/>
      </w:pPr>
      <w:r>
        <w:t>2.1.4 Carrier Claims File</w:t>
      </w:r>
    </w:p>
    <w:p w14:paraId="642D2435" w14:textId="77777777" w:rsidR="00B64956" w:rsidRDefault="003E2B82" w:rsidP="005A0156">
      <w:pPr>
        <w:pBdr>
          <w:top w:val="nil"/>
          <w:left w:val="nil"/>
          <w:bottom w:val="nil"/>
          <w:right w:val="nil"/>
          <w:between w:val="nil"/>
        </w:pBdr>
        <w:jc w:val="both"/>
      </w:pPr>
      <w:r>
        <w:t>This file represents professional services provided by physicians, nurse practitioners, and other suppliers. It is often the largest file by volume.</w:t>
      </w:r>
    </w:p>
    <w:p w14:paraId="32D30442" w14:textId="77777777" w:rsidR="00B64956" w:rsidRDefault="003E2B82" w:rsidP="003E2B82">
      <w:pPr>
        <w:numPr>
          <w:ilvl w:val="0"/>
          <w:numId w:val="16"/>
        </w:numPr>
        <w:pBdr>
          <w:top w:val="nil"/>
          <w:left w:val="nil"/>
          <w:bottom w:val="nil"/>
          <w:right w:val="nil"/>
          <w:between w:val="nil"/>
        </w:pBdr>
        <w:jc w:val="both"/>
      </w:pPr>
      <w:r>
        <w:rPr>
          <w:b/>
          <w:bCs/>
        </w:rPr>
        <w:t>Key Fields:</w:t>
      </w:r>
      <w:r>
        <w:t xml:space="preserve"> Line-level diagnosis and procedure codes (CPT-4), Performing Provider NPI (synthetic), Place of Service.</w:t>
      </w:r>
    </w:p>
    <w:p w14:paraId="64572D3E" w14:textId="77777777" w:rsidR="00B64956" w:rsidRDefault="003E2B82" w:rsidP="003E2B82">
      <w:pPr>
        <w:numPr>
          <w:ilvl w:val="0"/>
          <w:numId w:val="16"/>
        </w:numPr>
        <w:pBdr>
          <w:top w:val="nil"/>
          <w:left w:val="nil"/>
          <w:bottom w:val="nil"/>
          <w:right w:val="nil"/>
          <w:between w:val="nil"/>
        </w:pBdr>
        <w:jc w:val="both"/>
      </w:pPr>
      <w:r>
        <w:rPr>
          <w:b/>
          <w:bCs/>
        </w:rPr>
        <w:t>Relevance:</w:t>
      </w:r>
      <w:r>
        <w:t xml:space="preserve"> This file provides the granular "signals" of disease progression, such as specific lab tests ordered or changes in evaluation and management (E&amp;M) complexity.</w:t>
      </w:r>
    </w:p>
    <w:p w14:paraId="7F6F987C" w14:textId="77777777" w:rsidR="00B64956" w:rsidRDefault="003E2B82" w:rsidP="005A0156">
      <w:pPr>
        <w:pStyle w:val="Heading4"/>
        <w:jc w:val="both"/>
      </w:pPr>
      <w:r>
        <w:t>2.1.5 Prescription Drug Events (PDE) File</w:t>
      </w:r>
    </w:p>
    <w:p w14:paraId="7739BBA3" w14:textId="77777777" w:rsidR="00B64956" w:rsidRDefault="003E2B82" w:rsidP="005A0156">
      <w:pPr>
        <w:pBdr>
          <w:top w:val="nil"/>
          <w:left w:val="nil"/>
          <w:bottom w:val="nil"/>
          <w:right w:val="nil"/>
          <w:between w:val="nil"/>
        </w:pBdr>
        <w:jc w:val="both"/>
      </w:pPr>
      <w:r>
        <w:t>This file records Part D prescription drug utilization.</w:t>
      </w:r>
    </w:p>
    <w:p w14:paraId="7CE0604F" w14:textId="77777777" w:rsidR="00B64956" w:rsidRDefault="003E2B82" w:rsidP="003E2B82">
      <w:pPr>
        <w:numPr>
          <w:ilvl w:val="0"/>
          <w:numId w:val="17"/>
        </w:numPr>
        <w:pBdr>
          <w:top w:val="nil"/>
          <w:left w:val="nil"/>
          <w:bottom w:val="nil"/>
          <w:right w:val="nil"/>
          <w:between w:val="nil"/>
        </w:pBdr>
        <w:jc w:val="both"/>
      </w:pPr>
      <w:r>
        <w:rPr>
          <w:b/>
          <w:bCs/>
        </w:rPr>
        <w:t>Key Fields:</w:t>
      </w:r>
      <w:r>
        <w:t xml:space="preserve"> NDC (National Drug Code), Quantity Dispensed, </w:t>
      </w:r>
      <w:proofErr w:type="spellStart"/>
      <w:r>
        <w:t>Days</w:t>
      </w:r>
      <w:proofErr w:type="spellEnd"/>
      <w:r>
        <w:t xml:space="preserve"> Supply, Cost.</w:t>
      </w:r>
    </w:p>
    <w:p w14:paraId="46DBBFE5" w14:textId="77777777" w:rsidR="00B64956" w:rsidRDefault="003E2B82" w:rsidP="003E2B82">
      <w:pPr>
        <w:numPr>
          <w:ilvl w:val="0"/>
          <w:numId w:val="17"/>
        </w:numPr>
        <w:pBdr>
          <w:top w:val="nil"/>
          <w:left w:val="nil"/>
          <w:bottom w:val="nil"/>
          <w:right w:val="nil"/>
          <w:between w:val="nil"/>
        </w:pBdr>
        <w:jc w:val="both"/>
      </w:pPr>
      <w:r>
        <w:rPr>
          <w:b/>
          <w:bCs/>
        </w:rPr>
        <w:t>Relevance:</w:t>
      </w:r>
      <w:r>
        <w:t xml:space="preserve"> Medication non-adherence (e.g., gaps in refills for beta-blockers) is a potent predictor of acute decompensation in chronic disease patients.</w:t>
      </w:r>
    </w:p>
    <w:p w14:paraId="52B451C0" w14:textId="77777777" w:rsidR="005A0156" w:rsidRDefault="005A0156" w:rsidP="005A0156">
      <w:pPr>
        <w:pStyle w:val="Heading3"/>
        <w:jc w:val="both"/>
      </w:pPr>
    </w:p>
    <w:p w14:paraId="26F1BADF" w14:textId="77777777" w:rsidR="005A0156" w:rsidRDefault="005A0156" w:rsidP="005A0156">
      <w:pPr>
        <w:pStyle w:val="Heading3"/>
        <w:jc w:val="both"/>
      </w:pPr>
    </w:p>
    <w:p w14:paraId="273D115F" w14:textId="77777777" w:rsidR="005A0156" w:rsidRDefault="005A0156" w:rsidP="005A0156">
      <w:pPr>
        <w:pStyle w:val="Heading3"/>
        <w:jc w:val="both"/>
      </w:pPr>
    </w:p>
    <w:p w14:paraId="775D7E25" w14:textId="229AC9D1" w:rsidR="00B64956" w:rsidRDefault="003E2B82" w:rsidP="005A0156">
      <w:pPr>
        <w:pStyle w:val="Heading3"/>
        <w:jc w:val="both"/>
      </w:pPr>
      <w:r>
        <w:lastRenderedPageBreak/>
        <w:t>2.2 Data Cleaning and ETL Pipeline</w:t>
      </w:r>
    </w:p>
    <w:p w14:paraId="58BD35FE" w14:textId="77777777" w:rsidR="00B64956" w:rsidRDefault="003E2B82" w:rsidP="005A0156">
      <w:pPr>
        <w:pBdr>
          <w:top w:val="nil"/>
          <w:left w:val="nil"/>
          <w:bottom w:val="nil"/>
          <w:right w:val="nil"/>
          <w:between w:val="nil"/>
        </w:pBdr>
        <w:spacing w:after="255"/>
        <w:jc w:val="both"/>
      </w:pPr>
      <w:r>
        <w:t>Administrative claims data is notoriously "messy," primarily because it is generated for billing purposes rather than clinical documentation. A rigorous Extract, Transform, Load (ETL) pipeline was implemented to sanitize the DE-</w:t>
      </w:r>
      <w:proofErr w:type="spellStart"/>
      <w:r>
        <w:t>SynPUF</w:t>
      </w:r>
      <w:proofErr w:type="spellEnd"/>
      <w:r>
        <w:t xml:space="preserve"> data for </w:t>
      </w:r>
      <w:proofErr w:type="spellStart"/>
      <w:r>
        <w:t>modeling</w:t>
      </w:r>
      <w:proofErr w:type="spellEnd"/>
      <w:r>
        <w:t>.</w:t>
      </w:r>
    </w:p>
    <w:p w14:paraId="6DCD487B" w14:textId="77777777" w:rsidR="00B64956" w:rsidRDefault="003E2B82" w:rsidP="005A0156">
      <w:pPr>
        <w:pStyle w:val="Heading4"/>
        <w:spacing w:before="0"/>
        <w:jc w:val="both"/>
      </w:pPr>
      <w:r>
        <w:t>2.2.1 Handling Synthetic Artifacts and Logic Errors</w:t>
      </w:r>
    </w:p>
    <w:p w14:paraId="77629682" w14:textId="77777777" w:rsidR="00B64956" w:rsidRDefault="003E2B82" w:rsidP="005A0156">
      <w:pPr>
        <w:pBdr>
          <w:top w:val="nil"/>
          <w:left w:val="nil"/>
          <w:bottom w:val="nil"/>
          <w:right w:val="nil"/>
          <w:between w:val="nil"/>
        </w:pBdr>
        <w:jc w:val="both"/>
      </w:pPr>
      <w:r>
        <w:t>Since the DE-SynPUF is synthetic, it contains probabilistic artifacts that must be filtered to ensure biological plausibility.</w:t>
      </w:r>
    </w:p>
    <w:p w14:paraId="1C34F4F0" w14:textId="77777777" w:rsidR="00B64956" w:rsidRDefault="003E2B82" w:rsidP="003E2B82">
      <w:pPr>
        <w:numPr>
          <w:ilvl w:val="0"/>
          <w:numId w:val="18"/>
        </w:numPr>
        <w:pBdr>
          <w:top w:val="nil"/>
          <w:left w:val="nil"/>
          <w:bottom w:val="nil"/>
          <w:right w:val="nil"/>
          <w:between w:val="nil"/>
        </w:pBdr>
        <w:jc w:val="both"/>
      </w:pPr>
      <w:r>
        <w:rPr>
          <w:b/>
          <w:bCs/>
        </w:rPr>
        <w:t>Temporal Integrity:</w:t>
      </w:r>
      <w:r>
        <w:t xml:space="preserve"> We removed records where the CLM_FROM_DT (Claim Start Date) occurred after the BENE_DEATH_DT (Death Date).</w:t>
      </w:r>
    </w:p>
    <w:p w14:paraId="36A54A78" w14:textId="77777777" w:rsidR="00B64956" w:rsidRDefault="003E2B82" w:rsidP="003E2B82">
      <w:pPr>
        <w:numPr>
          <w:ilvl w:val="0"/>
          <w:numId w:val="18"/>
        </w:numPr>
        <w:pBdr>
          <w:top w:val="nil"/>
          <w:left w:val="nil"/>
          <w:bottom w:val="nil"/>
          <w:right w:val="nil"/>
          <w:between w:val="nil"/>
        </w:pBdr>
        <w:jc w:val="both"/>
      </w:pPr>
      <w:proofErr w:type="spellStart"/>
      <w:r>
        <w:rPr>
          <w:b/>
          <w:bCs/>
        </w:rPr>
        <w:t>Enrollment</w:t>
      </w:r>
      <w:proofErr w:type="spellEnd"/>
      <w:r>
        <w:rPr>
          <w:b/>
          <w:bCs/>
        </w:rPr>
        <w:t xml:space="preserve"> Consistency:</w:t>
      </w:r>
      <w:r>
        <w:t xml:space="preserve"> We filtered for beneficiaries with continuous Part A and Part B </w:t>
      </w:r>
      <w:proofErr w:type="spellStart"/>
      <w:r>
        <w:t>enrollment</w:t>
      </w:r>
      <w:proofErr w:type="spellEnd"/>
      <w:r>
        <w:t xml:space="preserve"> for at least 12 months prior to the prediction window. This ensures that the absence of a claim represents a lack of utilization rather than a lack of coverage.</w:t>
      </w:r>
    </w:p>
    <w:p w14:paraId="7E26A8AB" w14:textId="77777777" w:rsidR="00B64956" w:rsidRDefault="003E2B82" w:rsidP="005A0156">
      <w:pPr>
        <w:pStyle w:val="Heading4"/>
        <w:jc w:val="both"/>
      </w:pPr>
      <w:r>
        <w:t>2.2.2 Null Value Imputation and Standardization</w:t>
      </w:r>
    </w:p>
    <w:p w14:paraId="2C21A87A" w14:textId="77777777" w:rsidR="00B64956" w:rsidRDefault="003E2B82" w:rsidP="003E2B82">
      <w:pPr>
        <w:numPr>
          <w:ilvl w:val="0"/>
          <w:numId w:val="19"/>
        </w:numPr>
        <w:pBdr>
          <w:top w:val="nil"/>
          <w:left w:val="nil"/>
          <w:bottom w:val="nil"/>
          <w:right w:val="nil"/>
          <w:between w:val="nil"/>
        </w:pBdr>
        <w:jc w:val="both"/>
      </w:pPr>
      <w:r>
        <w:rPr>
          <w:b/>
          <w:bCs/>
        </w:rPr>
        <w:t>Diagnosis Codes:</w:t>
      </w:r>
      <w:r>
        <w:t xml:space="preserve"> Inpatient claims allow for up to 9 diagnosis codes. Null values in secondary diagnosis positions were filled with a placeholder token rather than removed, as the </w:t>
      </w:r>
      <w:r>
        <w:rPr>
          <w:i/>
          <w:iCs/>
        </w:rPr>
        <w:t>number</w:t>
      </w:r>
      <w:r>
        <w:t xml:space="preserve"> of diagnoses is itself a predictive feature.</w:t>
      </w:r>
    </w:p>
    <w:p w14:paraId="224909A5" w14:textId="77777777" w:rsidR="00B64956" w:rsidRDefault="003E2B82" w:rsidP="003E2B82">
      <w:pPr>
        <w:numPr>
          <w:ilvl w:val="0"/>
          <w:numId w:val="19"/>
        </w:numPr>
        <w:pBdr>
          <w:top w:val="nil"/>
          <w:left w:val="nil"/>
          <w:bottom w:val="nil"/>
          <w:right w:val="nil"/>
          <w:between w:val="nil"/>
        </w:pBdr>
        <w:jc w:val="both"/>
      </w:pPr>
      <w:r>
        <w:rPr>
          <w:b/>
          <w:bCs/>
        </w:rPr>
        <w:t>Cost Data:</w:t>
      </w:r>
      <w:r>
        <w:t xml:space="preserve"> Missing cost fields were imputed with the median cost for the corresponding DRG or HCPCS code to prevent skewing aggregate financial metrics.</w:t>
      </w:r>
    </w:p>
    <w:p w14:paraId="6703B0B1" w14:textId="77777777" w:rsidR="00B64956" w:rsidRDefault="003E2B82" w:rsidP="005A0156">
      <w:pPr>
        <w:pStyle w:val="Heading4"/>
        <w:jc w:val="both"/>
      </w:pPr>
      <w:r>
        <w:t>2.2.3 Constructing the "Episode of Care"</w:t>
      </w:r>
    </w:p>
    <w:p w14:paraId="139E6785" w14:textId="77777777" w:rsidR="00B64956" w:rsidRDefault="003E2B82" w:rsidP="005A0156">
      <w:pPr>
        <w:pBdr>
          <w:top w:val="nil"/>
          <w:left w:val="nil"/>
          <w:bottom w:val="nil"/>
          <w:right w:val="nil"/>
          <w:between w:val="nil"/>
        </w:pBdr>
        <w:jc w:val="both"/>
      </w:pPr>
      <w:r>
        <w:t>To predict readmissions, we must first define an "index admission."</w:t>
      </w:r>
    </w:p>
    <w:p w14:paraId="3EF61E67" w14:textId="77777777" w:rsidR="00B64956" w:rsidRDefault="003E2B82" w:rsidP="003E2B82">
      <w:pPr>
        <w:numPr>
          <w:ilvl w:val="0"/>
          <w:numId w:val="20"/>
        </w:numPr>
        <w:pBdr>
          <w:top w:val="nil"/>
          <w:left w:val="nil"/>
          <w:bottom w:val="nil"/>
          <w:right w:val="nil"/>
          <w:between w:val="nil"/>
        </w:pBdr>
        <w:jc w:val="both"/>
      </w:pPr>
      <w:r>
        <w:rPr>
          <w:b/>
          <w:bCs/>
        </w:rPr>
        <w:t>Logic:</w:t>
      </w:r>
      <w:r>
        <w:t xml:space="preserve"> We sorted inpatient claims chronologically for each beneficiary.</w:t>
      </w:r>
    </w:p>
    <w:p w14:paraId="02F91B08" w14:textId="77777777" w:rsidR="00B64956" w:rsidRDefault="003E2B82" w:rsidP="003E2B82">
      <w:pPr>
        <w:numPr>
          <w:ilvl w:val="0"/>
          <w:numId w:val="20"/>
        </w:numPr>
        <w:pBdr>
          <w:top w:val="nil"/>
          <w:left w:val="nil"/>
          <w:bottom w:val="nil"/>
          <w:right w:val="nil"/>
          <w:between w:val="nil"/>
        </w:pBdr>
        <w:jc w:val="both"/>
      </w:pPr>
      <w:r>
        <w:rPr>
          <w:b/>
          <w:bCs/>
        </w:rPr>
        <w:t>Target Definition:</w:t>
      </w:r>
      <w:r>
        <w:t xml:space="preserve"> An index admission is defined as any inpatient stay. The target variable (Readmission_30_Day) is binary (1/0), set to 1 if a subsequent inpatient claim has an admission date within 30 days of the index discharge date.</w:t>
      </w:r>
    </w:p>
    <w:p w14:paraId="298EAB91" w14:textId="77777777" w:rsidR="00B64956" w:rsidRDefault="003E2B82" w:rsidP="003E2B82">
      <w:pPr>
        <w:numPr>
          <w:ilvl w:val="0"/>
          <w:numId w:val="20"/>
        </w:numPr>
        <w:pBdr>
          <w:top w:val="nil"/>
          <w:left w:val="nil"/>
          <w:bottom w:val="nil"/>
          <w:right w:val="nil"/>
          <w:between w:val="nil"/>
        </w:pBdr>
        <w:jc w:val="both"/>
      </w:pPr>
      <w:r>
        <w:rPr>
          <w:b/>
          <w:bCs/>
        </w:rPr>
        <w:t>Exclusions:</w:t>
      </w:r>
      <w:r>
        <w:t xml:space="preserve"> We excluded transfers (where discharge status indicates transfer to another acute facility) and admissions for rehabilitation, as these are planned extensions of care rather than failures.</w:t>
      </w:r>
    </w:p>
    <w:p w14:paraId="6158B337" w14:textId="77777777" w:rsidR="00B64956" w:rsidRDefault="003E2B82" w:rsidP="005A0156">
      <w:pPr>
        <w:pStyle w:val="Heading2"/>
        <w:jc w:val="both"/>
      </w:pPr>
      <w:r>
        <w:t>3. Exploratory Data Analysis (EDA): Uncovering the Drivers of Cost</w:t>
      </w:r>
    </w:p>
    <w:p w14:paraId="22E03826" w14:textId="77777777" w:rsidR="00B64956" w:rsidRDefault="003E2B82" w:rsidP="005A0156">
      <w:pPr>
        <w:pBdr>
          <w:top w:val="nil"/>
          <w:left w:val="nil"/>
          <w:bottom w:val="nil"/>
          <w:right w:val="nil"/>
          <w:between w:val="nil"/>
        </w:pBdr>
        <w:spacing w:after="240"/>
        <w:jc w:val="both"/>
      </w:pPr>
      <w:r>
        <w:t>Before deploying predictive algorithms, a deep descriptive analysis is required to understand the underlying distributions and relationships within the data. This EDA phase validates the business hypothesis and informs feature selection.</w:t>
      </w:r>
    </w:p>
    <w:p w14:paraId="0ED6C441" w14:textId="77777777" w:rsidR="00B64956" w:rsidRDefault="003E2B82" w:rsidP="005A0156">
      <w:pPr>
        <w:pStyle w:val="Heading3"/>
        <w:spacing w:before="0"/>
        <w:jc w:val="both"/>
      </w:pPr>
      <w:r>
        <w:t>3.1 The Concentration of Risk: The Power Law</w:t>
      </w:r>
    </w:p>
    <w:p w14:paraId="603398CD" w14:textId="77777777" w:rsidR="00B64956" w:rsidRDefault="003E2B82" w:rsidP="005A0156">
      <w:pPr>
        <w:pBdr>
          <w:top w:val="nil"/>
          <w:left w:val="nil"/>
          <w:bottom w:val="nil"/>
          <w:right w:val="nil"/>
          <w:between w:val="nil"/>
        </w:pBdr>
        <w:jc w:val="both"/>
      </w:pPr>
      <w:r>
        <w:t>The analysis confirms that healthcare spending in the DE-SynPUF cohort does not follow a normal distribution (Bell Curve) but rather a Power Law (Pareto) distribution.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B64956" w14:paraId="0587D2A5" w14:textId="77777777">
        <w:trPr>
          <w:tblHeader/>
        </w:trPr>
        <w:tc>
          <w:tcPr>
            <w:tcW w:w="2340" w:type="dxa"/>
            <w:shd w:val="clear" w:color="auto" w:fill="auto"/>
            <w:tcMar>
              <w:top w:w="0" w:type="dxa"/>
              <w:left w:w="0" w:type="dxa"/>
              <w:bottom w:w="0" w:type="dxa"/>
              <w:right w:w="0" w:type="dxa"/>
            </w:tcMar>
          </w:tcPr>
          <w:p w14:paraId="3679CA3D" w14:textId="77777777" w:rsidR="00B64956" w:rsidRDefault="003E2B82" w:rsidP="005A0156">
            <w:pPr>
              <w:pBdr>
                <w:top w:val="nil"/>
                <w:left w:val="nil"/>
                <w:bottom w:val="nil"/>
                <w:right w:val="nil"/>
                <w:between w:val="nil"/>
              </w:pBdr>
              <w:jc w:val="both"/>
            </w:pPr>
            <w:r>
              <w:t>Risk Segment</w:t>
            </w:r>
          </w:p>
        </w:tc>
        <w:tc>
          <w:tcPr>
            <w:tcW w:w="2340" w:type="dxa"/>
            <w:shd w:val="clear" w:color="auto" w:fill="auto"/>
            <w:tcMar>
              <w:top w:w="0" w:type="dxa"/>
              <w:left w:w="0" w:type="dxa"/>
              <w:bottom w:w="0" w:type="dxa"/>
              <w:right w:w="0" w:type="dxa"/>
            </w:tcMar>
          </w:tcPr>
          <w:p w14:paraId="795050DC" w14:textId="77777777" w:rsidR="00B64956" w:rsidRDefault="003E2B82" w:rsidP="005A0156">
            <w:pPr>
              <w:pBdr>
                <w:top w:val="nil"/>
                <w:left w:val="nil"/>
                <w:bottom w:val="nil"/>
                <w:right w:val="nil"/>
                <w:between w:val="nil"/>
              </w:pBdr>
              <w:jc w:val="both"/>
            </w:pPr>
            <w:r>
              <w:t>% of Population</w:t>
            </w:r>
          </w:p>
        </w:tc>
        <w:tc>
          <w:tcPr>
            <w:tcW w:w="2340" w:type="dxa"/>
            <w:shd w:val="clear" w:color="auto" w:fill="auto"/>
            <w:tcMar>
              <w:top w:w="0" w:type="dxa"/>
              <w:left w:w="0" w:type="dxa"/>
              <w:bottom w:w="0" w:type="dxa"/>
              <w:right w:w="0" w:type="dxa"/>
            </w:tcMar>
          </w:tcPr>
          <w:p w14:paraId="193B0BCC" w14:textId="77777777" w:rsidR="00B64956" w:rsidRDefault="003E2B82" w:rsidP="005A0156">
            <w:pPr>
              <w:pBdr>
                <w:top w:val="nil"/>
                <w:left w:val="nil"/>
                <w:bottom w:val="nil"/>
                <w:right w:val="nil"/>
                <w:between w:val="nil"/>
              </w:pBdr>
              <w:jc w:val="both"/>
            </w:pPr>
            <w:r>
              <w:t>% of Total Cost</w:t>
            </w:r>
          </w:p>
        </w:tc>
        <w:tc>
          <w:tcPr>
            <w:tcW w:w="2340" w:type="dxa"/>
            <w:shd w:val="clear" w:color="auto" w:fill="auto"/>
            <w:tcMar>
              <w:top w:w="0" w:type="dxa"/>
              <w:left w:w="0" w:type="dxa"/>
              <w:bottom w:w="0" w:type="dxa"/>
              <w:right w:w="0" w:type="dxa"/>
            </w:tcMar>
          </w:tcPr>
          <w:p w14:paraId="09405EF7" w14:textId="77777777" w:rsidR="00B64956" w:rsidRDefault="003E2B82" w:rsidP="005A0156">
            <w:pPr>
              <w:pBdr>
                <w:top w:val="nil"/>
                <w:left w:val="nil"/>
                <w:bottom w:val="nil"/>
                <w:right w:val="nil"/>
                <w:between w:val="nil"/>
              </w:pBdr>
              <w:jc w:val="both"/>
            </w:pPr>
            <w:proofErr w:type="spellStart"/>
            <w:r>
              <w:t>Avg</w:t>
            </w:r>
            <w:proofErr w:type="spellEnd"/>
            <w:r>
              <w:t xml:space="preserve"> PMPM Cost</w:t>
            </w:r>
          </w:p>
        </w:tc>
      </w:tr>
      <w:tr w:rsidR="00B64956" w14:paraId="3149D144" w14:textId="77777777">
        <w:tc>
          <w:tcPr>
            <w:tcW w:w="2340" w:type="dxa"/>
            <w:shd w:val="clear" w:color="auto" w:fill="auto"/>
            <w:tcMar>
              <w:top w:w="0" w:type="dxa"/>
              <w:left w:w="0" w:type="dxa"/>
              <w:bottom w:w="0" w:type="dxa"/>
              <w:right w:w="0" w:type="dxa"/>
            </w:tcMar>
          </w:tcPr>
          <w:p w14:paraId="46A8BE29" w14:textId="77777777" w:rsidR="00B64956" w:rsidRDefault="003E2B82" w:rsidP="005A0156">
            <w:pPr>
              <w:pBdr>
                <w:top w:val="nil"/>
                <w:left w:val="nil"/>
                <w:bottom w:val="nil"/>
                <w:right w:val="nil"/>
                <w:between w:val="nil"/>
              </w:pBdr>
              <w:jc w:val="both"/>
              <w:rPr>
                <w:b/>
                <w:bCs/>
              </w:rPr>
            </w:pPr>
            <w:r>
              <w:rPr>
                <w:b/>
                <w:bCs/>
              </w:rPr>
              <w:t>High Risk</w:t>
            </w:r>
          </w:p>
        </w:tc>
        <w:tc>
          <w:tcPr>
            <w:tcW w:w="2340" w:type="dxa"/>
            <w:shd w:val="clear" w:color="auto" w:fill="auto"/>
            <w:tcMar>
              <w:top w:w="0" w:type="dxa"/>
              <w:left w:w="0" w:type="dxa"/>
              <w:bottom w:w="0" w:type="dxa"/>
              <w:right w:w="0" w:type="dxa"/>
            </w:tcMar>
          </w:tcPr>
          <w:p w14:paraId="529409E7" w14:textId="77777777" w:rsidR="00B64956" w:rsidRDefault="003E2B82" w:rsidP="005A0156">
            <w:pPr>
              <w:pBdr>
                <w:top w:val="nil"/>
                <w:left w:val="nil"/>
                <w:bottom w:val="nil"/>
                <w:right w:val="nil"/>
                <w:between w:val="nil"/>
              </w:pBdr>
              <w:jc w:val="both"/>
            </w:pPr>
            <w:r>
              <w:t>5%</w:t>
            </w:r>
          </w:p>
        </w:tc>
        <w:tc>
          <w:tcPr>
            <w:tcW w:w="2340" w:type="dxa"/>
            <w:shd w:val="clear" w:color="auto" w:fill="auto"/>
            <w:tcMar>
              <w:top w:w="0" w:type="dxa"/>
              <w:left w:w="0" w:type="dxa"/>
              <w:bottom w:w="0" w:type="dxa"/>
              <w:right w:w="0" w:type="dxa"/>
            </w:tcMar>
          </w:tcPr>
          <w:p w14:paraId="144CC90C" w14:textId="77777777" w:rsidR="00B64956" w:rsidRDefault="003E2B82" w:rsidP="005A0156">
            <w:pPr>
              <w:pBdr>
                <w:top w:val="nil"/>
                <w:left w:val="nil"/>
                <w:bottom w:val="nil"/>
                <w:right w:val="nil"/>
                <w:between w:val="nil"/>
              </w:pBdr>
              <w:jc w:val="both"/>
            </w:pPr>
            <w:r>
              <w:t>52%</w:t>
            </w:r>
          </w:p>
        </w:tc>
        <w:tc>
          <w:tcPr>
            <w:tcW w:w="2340" w:type="dxa"/>
            <w:shd w:val="clear" w:color="auto" w:fill="auto"/>
            <w:tcMar>
              <w:top w:w="0" w:type="dxa"/>
              <w:left w:w="0" w:type="dxa"/>
              <w:bottom w:w="0" w:type="dxa"/>
              <w:right w:w="0" w:type="dxa"/>
            </w:tcMar>
          </w:tcPr>
          <w:p w14:paraId="60C99AF0" w14:textId="77777777" w:rsidR="00B64956" w:rsidRDefault="003E2B82" w:rsidP="005A0156">
            <w:pPr>
              <w:pBdr>
                <w:top w:val="nil"/>
                <w:left w:val="nil"/>
                <w:bottom w:val="nil"/>
                <w:right w:val="nil"/>
                <w:between w:val="nil"/>
              </w:pBdr>
              <w:jc w:val="both"/>
            </w:pPr>
            <w:r>
              <w:t>$4,850</w:t>
            </w:r>
          </w:p>
        </w:tc>
      </w:tr>
      <w:tr w:rsidR="00B64956" w14:paraId="29CF988C" w14:textId="77777777">
        <w:tc>
          <w:tcPr>
            <w:tcW w:w="2340" w:type="dxa"/>
            <w:shd w:val="clear" w:color="auto" w:fill="auto"/>
            <w:tcMar>
              <w:top w:w="0" w:type="dxa"/>
              <w:left w:w="0" w:type="dxa"/>
              <w:bottom w:w="0" w:type="dxa"/>
              <w:right w:w="0" w:type="dxa"/>
            </w:tcMar>
          </w:tcPr>
          <w:p w14:paraId="77EDDCA4" w14:textId="77777777" w:rsidR="00B64956" w:rsidRDefault="003E2B82" w:rsidP="005A0156">
            <w:pPr>
              <w:pBdr>
                <w:top w:val="nil"/>
                <w:left w:val="nil"/>
                <w:bottom w:val="nil"/>
                <w:right w:val="nil"/>
                <w:between w:val="nil"/>
              </w:pBdr>
              <w:jc w:val="both"/>
              <w:rPr>
                <w:b/>
                <w:bCs/>
              </w:rPr>
            </w:pPr>
            <w:r>
              <w:rPr>
                <w:b/>
                <w:bCs/>
              </w:rPr>
              <w:t>Rising Risk</w:t>
            </w:r>
          </w:p>
        </w:tc>
        <w:tc>
          <w:tcPr>
            <w:tcW w:w="2340" w:type="dxa"/>
            <w:shd w:val="clear" w:color="auto" w:fill="auto"/>
            <w:tcMar>
              <w:top w:w="0" w:type="dxa"/>
              <w:left w:w="0" w:type="dxa"/>
              <w:bottom w:w="0" w:type="dxa"/>
              <w:right w:w="0" w:type="dxa"/>
            </w:tcMar>
          </w:tcPr>
          <w:p w14:paraId="7B366F98" w14:textId="77777777" w:rsidR="00B64956" w:rsidRDefault="003E2B82" w:rsidP="005A0156">
            <w:pPr>
              <w:pBdr>
                <w:top w:val="nil"/>
                <w:left w:val="nil"/>
                <w:bottom w:val="nil"/>
                <w:right w:val="nil"/>
                <w:between w:val="nil"/>
              </w:pBdr>
              <w:jc w:val="both"/>
            </w:pPr>
            <w:r>
              <w:t>15%</w:t>
            </w:r>
          </w:p>
        </w:tc>
        <w:tc>
          <w:tcPr>
            <w:tcW w:w="2340" w:type="dxa"/>
            <w:shd w:val="clear" w:color="auto" w:fill="auto"/>
            <w:tcMar>
              <w:top w:w="0" w:type="dxa"/>
              <w:left w:w="0" w:type="dxa"/>
              <w:bottom w:w="0" w:type="dxa"/>
              <w:right w:w="0" w:type="dxa"/>
            </w:tcMar>
          </w:tcPr>
          <w:p w14:paraId="72640956" w14:textId="77777777" w:rsidR="00B64956" w:rsidRDefault="003E2B82" w:rsidP="005A0156">
            <w:pPr>
              <w:pBdr>
                <w:top w:val="nil"/>
                <w:left w:val="nil"/>
                <w:bottom w:val="nil"/>
                <w:right w:val="nil"/>
                <w:between w:val="nil"/>
              </w:pBdr>
              <w:jc w:val="both"/>
            </w:pPr>
            <w:r>
              <w:t>31%</w:t>
            </w:r>
          </w:p>
        </w:tc>
        <w:tc>
          <w:tcPr>
            <w:tcW w:w="2340" w:type="dxa"/>
            <w:shd w:val="clear" w:color="auto" w:fill="auto"/>
            <w:tcMar>
              <w:top w:w="0" w:type="dxa"/>
              <w:left w:w="0" w:type="dxa"/>
              <w:bottom w:w="0" w:type="dxa"/>
              <w:right w:w="0" w:type="dxa"/>
            </w:tcMar>
          </w:tcPr>
          <w:p w14:paraId="02C71079" w14:textId="77777777" w:rsidR="00B64956" w:rsidRDefault="003E2B82" w:rsidP="005A0156">
            <w:pPr>
              <w:pBdr>
                <w:top w:val="nil"/>
                <w:left w:val="nil"/>
                <w:bottom w:val="nil"/>
                <w:right w:val="nil"/>
                <w:between w:val="nil"/>
              </w:pBdr>
              <w:jc w:val="both"/>
            </w:pPr>
            <w:r>
              <w:t>$1,200</w:t>
            </w:r>
          </w:p>
        </w:tc>
      </w:tr>
      <w:tr w:rsidR="00B64956" w14:paraId="0059BAFC" w14:textId="77777777">
        <w:tc>
          <w:tcPr>
            <w:tcW w:w="2340" w:type="dxa"/>
            <w:shd w:val="clear" w:color="auto" w:fill="auto"/>
            <w:tcMar>
              <w:top w:w="0" w:type="dxa"/>
              <w:left w:w="0" w:type="dxa"/>
              <w:bottom w:w="0" w:type="dxa"/>
              <w:right w:w="0" w:type="dxa"/>
            </w:tcMar>
          </w:tcPr>
          <w:p w14:paraId="1C1BFB3F" w14:textId="77777777" w:rsidR="00B64956" w:rsidRDefault="003E2B82" w:rsidP="005A0156">
            <w:pPr>
              <w:pBdr>
                <w:top w:val="nil"/>
                <w:left w:val="nil"/>
                <w:bottom w:val="nil"/>
                <w:right w:val="nil"/>
                <w:between w:val="nil"/>
              </w:pBdr>
              <w:jc w:val="both"/>
              <w:rPr>
                <w:b/>
                <w:bCs/>
              </w:rPr>
            </w:pPr>
            <w:r>
              <w:rPr>
                <w:b/>
                <w:bCs/>
              </w:rPr>
              <w:t>Low Risk</w:t>
            </w:r>
          </w:p>
        </w:tc>
        <w:tc>
          <w:tcPr>
            <w:tcW w:w="2340" w:type="dxa"/>
            <w:shd w:val="clear" w:color="auto" w:fill="auto"/>
            <w:tcMar>
              <w:top w:w="0" w:type="dxa"/>
              <w:left w:w="0" w:type="dxa"/>
              <w:bottom w:w="0" w:type="dxa"/>
              <w:right w:w="0" w:type="dxa"/>
            </w:tcMar>
          </w:tcPr>
          <w:p w14:paraId="788255D5" w14:textId="77777777" w:rsidR="00B64956" w:rsidRDefault="003E2B82" w:rsidP="005A0156">
            <w:pPr>
              <w:pBdr>
                <w:top w:val="nil"/>
                <w:left w:val="nil"/>
                <w:bottom w:val="nil"/>
                <w:right w:val="nil"/>
                <w:between w:val="nil"/>
              </w:pBdr>
              <w:jc w:val="both"/>
            </w:pPr>
            <w:r>
              <w:t>80%</w:t>
            </w:r>
          </w:p>
        </w:tc>
        <w:tc>
          <w:tcPr>
            <w:tcW w:w="2340" w:type="dxa"/>
            <w:shd w:val="clear" w:color="auto" w:fill="auto"/>
            <w:tcMar>
              <w:top w:w="0" w:type="dxa"/>
              <w:left w:w="0" w:type="dxa"/>
              <w:bottom w:w="0" w:type="dxa"/>
              <w:right w:w="0" w:type="dxa"/>
            </w:tcMar>
          </w:tcPr>
          <w:p w14:paraId="3B23C431" w14:textId="77777777" w:rsidR="00B64956" w:rsidRDefault="003E2B82" w:rsidP="005A0156">
            <w:pPr>
              <w:pBdr>
                <w:top w:val="nil"/>
                <w:left w:val="nil"/>
                <w:bottom w:val="nil"/>
                <w:right w:val="nil"/>
                <w:between w:val="nil"/>
              </w:pBdr>
              <w:jc w:val="both"/>
            </w:pPr>
            <w:r>
              <w:t>17%</w:t>
            </w:r>
          </w:p>
        </w:tc>
        <w:tc>
          <w:tcPr>
            <w:tcW w:w="2340" w:type="dxa"/>
            <w:shd w:val="clear" w:color="auto" w:fill="auto"/>
            <w:tcMar>
              <w:top w:w="0" w:type="dxa"/>
              <w:left w:w="0" w:type="dxa"/>
              <w:bottom w:w="0" w:type="dxa"/>
              <w:right w:w="0" w:type="dxa"/>
            </w:tcMar>
          </w:tcPr>
          <w:p w14:paraId="662A505C" w14:textId="77777777" w:rsidR="00B64956" w:rsidRDefault="003E2B82" w:rsidP="005A0156">
            <w:pPr>
              <w:pBdr>
                <w:top w:val="nil"/>
                <w:left w:val="nil"/>
                <w:bottom w:val="nil"/>
                <w:right w:val="nil"/>
                <w:between w:val="nil"/>
              </w:pBdr>
              <w:jc w:val="both"/>
            </w:pPr>
            <w:r>
              <w:t>$180</w:t>
            </w:r>
          </w:p>
        </w:tc>
      </w:tr>
    </w:tbl>
    <w:p w14:paraId="0D66F5B2" w14:textId="77777777" w:rsidR="00B64956" w:rsidRDefault="003E2B82" w:rsidP="005A0156">
      <w:pPr>
        <w:pBdr>
          <w:top w:val="nil"/>
          <w:left w:val="nil"/>
          <w:bottom w:val="nil"/>
          <w:right w:val="nil"/>
          <w:between w:val="nil"/>
        </w:pBdr>
        <w:jc w:val="both"/>
        <w:rPr>
          <w:i/>
          <w:iCs/>
        </w:rPr>
      </w:pPr>
      <w:r>
        <w:rPr>
          <w:i/>
          <w:iCs/>
        </w:rPr>
        <w:lastRenderedPageBreak/>
        <w:t>Table 1: Risk Stratification and Cost Concentration in the 2008-2010 DE-SynPUF Cohort.</w:t>
      </w:r>
    </w:p>
    <w:p w14:paraId="41EC5E38" w14:textId="77777777" w:rsidR="00B64956" w:rsidRDefault="003E2B82" w:rsidP="005A0156">
      <w:pPr>
        <w:pBdr>
          <w:top w:val="nil"/>
          <w:left w:val="nil"/>
          <w:bottom w:val="nil"/>
          <w:right w:val="nil"/>
          <w:between w:val="nil"/>
        </w:pBdr>
        <w:jc w:val="both"/>
      </w:pPr>
      <w:r>
        <w:rPr>
          <w:b/>
          <w:bCs/>
        </w:rPr>
        <w:t>Insight:</w:t>
      </w:r>
      <w:r>
        <w:t xml:space="preserve"> The "High Risk" cohort is not homogeneous. It comprises three distinct sub-segments:</w:t>
      </w:r>
    </w:p>
    <w:p w14:paraId="23E7672A" w14:textId="77777777" w:rsidR="00B64956" w:rsidRDefault="003E2B82" w:rsidP="003E2B82">
      <w:pPr>
        <w:numPr>
          <w:ilvl w:val="0"/>
          <w:numId w:val="21"/>
        </w:numPr>
        <w:pBdr>
          <w:top w:val="nil"/>
          <w:left w:val="nil"/>
          <w:bottom w:val="nil"/>
          <w:right w:val="nil"/>
          <w:between w:val="nil"/>
        </w:pBdr>
        <w:jc w:val="both"/>
      </w:pPr>
      <w:r>
        <w:rPr>
          <w:b/>
          <w:bCs/>
        </w:rPr>
        <w:t>End-of-Life:</w:t>
      </w:r>
      <w:r>
        <w:t xml:space="preserve"> Beneficiaries in their final 6 months of life, characterized by escalating ICU use.</w:t>
      </w:r>
    </w:p>
    <w:p w14:paraId="7F6D739F" w14:textId="77777777" w:rsidR="00B64956" w:rsidRDefault="003E2B82" w:rsidP="003E2B82">
      <w:pPr>
        <w:numPr>
          <w:ilvl w:val="0"/>
          <w:numId w:val="21"/>
        </w:numPr>
        <w:pBdr>
          <w:top w:val="nil"/>
          <w:left w:val="nil"/>
          <w:bottom w:val="nil"/>
          <w:right w:val="nil"/>
          <w:between w:val="nil"/>
        </w:pBdr>
        <w:jc w:val="both"/>
      </w:pPr>
      <w:r>
        <w:rPr>
          <w:b/>
          <w:bCs/>
        </w:rPr>
        <w:t>Catastrophic Acute:</w:t>
      </w:r>
      <w:r>
        <w:t xml:space="preserve"> Previously healthy patients experiencing a single major event (e.g., stroke, trauma).</w:t>
      </w:r>
    </w:p>
    <w:p w14:paraId="24F991E6" w14:textId="77777777" w:rsidR="00B64956" w:rsidRDefault="003E2B82" w:rsidP="003E2B82">
      <w:pPr>
        <w:numPr>
          <w:ilvl w:val="0"/>
          <w:numId w:val="21"/>
        </w:numPr>
        <w:pBdr>
          <w:top w:val="nil"/>
          <w:left w:val="nil"/>
          <w:bottom w:val="nil"/>
          <w:right w:val="nil"/>
          <w:between w:val="nil"/>
        </w:pBdr>
        <w:jc w:val="both"/>
      </w:pPr>
      <w:r>
        <w:rPr>
          <w:b/>
          <w:bCs/>
        </w:rPr>
        <w:t>Chronic Multi-morbid:</w:t>
      </w:r>
      <w:r>
        <w:t xml:space="preserve"> Patients with 3+ chronic conditions who cycle in and out of the hospital. This third group represents the most significant opportunity for </w:t>
      </w:r>
      <w:proofErr w:type="spellStart"/>
      <w:r>
        <w:rPr>
          <w:i/>
          <w:iCs/>
        </w:rPr>
        <w:t>impactability</w:t>
      </w:r>
      <w:proofErr w:type="spellEnd"/>
      <w:r>
        <w:t xml:space="preserve"> via care management.</w:t>
      </w:r>
    </w:p>
    <w:p w14:paraId="155EF734" w14:textId="77777777" w:rsidR="00B64956" w:rsidRDefault="003E2B82" w:rsidP="005A0156">
      <w:pPr>
        <w:pStyle w:val="Heading3"/>
        <w:jc w:val="both"/>
      </w:pPr>
      <w:r>
        <w:t>3.2 The Comorbidity Matrix</w:t>
      </w:r>
    </w:p>
    <w:p w14:paraId="773E46C7" w14:textId="77777777" w:rsidR="00B64956" w:rsidRDefault="003E2B82" w:rsidP="005A0156">
      <w:pPr>
        <w:pBdr>
          <w:top w:val="nil"/>
          <w:left w:val="nil"/>
          <w:bottom w:val="nil"/>
          <w:right w:val="nil"/>
          <w:between w:val="nil"/>
        </w:pBdr>
        <w:jc w:val="both"/>
      </w:pPr>
      <w:r>
        <w:t>Using the chronic condition flags in the Beneficiary Summary File, we constructed a correlation matrix to identify disease clusters.</w:t>
      </w:r>
    </w:p>
    <w:p w14:paraId="2B2E25AC" w14:textId="77777777" w:rsidR="00B64956" w:rsidRDefault="003E2B82" w:rsidP="003E2B82">
      <w:pPr>
        <w:numPr>
          <w:ilvl w:val="0"/>
          <w:numId w:val="22"/>
        </w:numPr>
        <w:pBdr>
          <w:top w:val="nil"/>
          <w:left w:val="nil"/>
          <w:bottom w:val="nil"/>
          <w:right w:val="nil"/>
          <w:between w:val="nil"/>
        </w:pBdr>
        <w:jc w:val="both"/>
      </w:pPr>
      <w:r>
        <w:rPr>
          <w:b/>
          <w:bCs/>
        </w:rPr>
        <w:t>Finding:</w:t>
      </w:r>
      <w:r>
        <w:t xml:space="preserve"> Strong positive correlations exist between Diabetes, Hypertension, and </w:t>
      </w:r>
      <w:proofErr w:type="spellStart"/>
      <w:r>
        <w:t>Hyperlipidemia</w:t>
      </w:r>
      <w:proofErr w:type="spellEnd"/>
      <w:r>
        <w:t xml:space="preserve"> (the "Metabolic Syndrome" cluster).</w:t>
      </w:r>
    </w:p>
    <w:p w14:paraId="2468082F" w14:textId="77777777" w:rsidR="00B64956" w:rsidRDefault="003E2B82" w:rsidP="003E2B82">
      <w:pPr>
        <w:numPr>
          <w:ilvl w:val="0"/>
          <w:numId w:val="22"/>
        </w:numPr>
        <w:pBdr>
          <w:top w:val="nil"/>
          <w:left w:val="nil"/>
          <w:bottom w:val="nil"/>
          <w:right w:val="nil"/>
          <w:between w:val="nil"/>
        </w:pBdr>
        <w:jc w:val="both"/>
      </w:pPr>
      <w:r>
        <w:rPr>
          <w:b/>
          <w:bCs/>
        </w:rPr>
        <w:t>Finding:</w:t>
      </w:r>
      <w:r>
        <w:t xml:space="preserve"> A distinct "Cardio-Renal" cluster exists between Heart Failure (CHF) and Chronic Kidney Disease (CKD).</w:t>
      </w:r>
    </w:p>
    <w:p w14:paraId="460EBE9A" w14:textId="77777777" w:rsidR="00B64956" w:rsidRDefault="003E2B82" w:rsidP="003E2B82">
      <w:pPr>
        <w:numPr>
          <w:ilvl w:val="0"/>
          <w:numId w:val="22"/>
        </w:numPr>
        <w:pBdr>
          <w:top w:val="nil"/>
          <w:left w:val="nil"/>
          <w:bottom w:val="nil"/>
          <w:right w:val="nil"/>
          <w:between w:val="nil"/>
        </w:pBdr>
        <w:jc w:val="both"/>
      </w:pPr>
      <w:r>
        <w:rPr>
          <w:b/>
          <w:bCs/>
        </w:rPr>
        <w:t>Impact:</w:t>
      </w:r>
      <w:r>
        <w:t xml:space="preserve"> Beneficiaries with the Cardio-Renal dyad have a 30-day readmission rate of 28%, nearly double the baseline rate of 15% for the general inpatient population. This interaction effect suggests that risk models must account for non-linear combinations of diseases, not just additive counts.</w:t>
      </w:r>
    </w:p>
    <w:p w14:paraId="3EB2F762" w14:textId="77777777" w:rsidR="00B64956" w:rsidRDefault="003E2B82" w:rsidP="005A0156">
      <w:pPr>
        <w:pStyle w:val="Heading3"/>
        <w:jc w:val="both"/>
      </w:pPr>
      <w:r>
        <w:t>3.3 Temporal Patterns of Utilization</w:t>
      </w:r>
    </w:p>
    <w:p w14:paraId="72C9317B" w14:textId="77777777" w:rsidR="00B64956" w:rsidRDefault="003E2B82" w:rsidP="005A0156">
      <w:pPr>
        <w:pBdr>
          <w:top w:val="nil"/>
          <w:left w:val="nil"/>
          <w:bottom w:val="nil"/>
          <w:right w:val="nil"/>
          <w:between w:val="nil"/>
        </w:pBdr>
        <w:jc w:val="both"/>
      </w:pPr>
      <w:proofErr w:type="spellStart"/>
      <w:r>
        <w:t>Analyzing</w:t>
      </w:r>
      <w:proofErr w:type="spellEnd"/>
      <w:r>
        <w:t xml:space="preserve"> the timing of claims reveals a critical "gap" phenomenon.</w:t>
      </w:r>
    </w:p>
    <w:p w14:paraId="2B7C3572" w14:textId="77777777" w:rsidR="00B64956" w:rsidRDefault="003E2B82" w:rsidP="003E2B82">
      <w:pPr>
        <w:numPr>
          <w:ilvl w:val="0"/>
          <w:numId w:val="23"/>
        </w:numPr>
        <w:pBdr>
          <w:top w:val="nil"/>
          <w:left w:val="nil"/>
          <w:bottom w:val="nil"/>
          <w:right w:val="nil"/>
          <w:between w:val="nil"/>
        </w:pBdr>
        <w:jc w:val="both"/>
      </w:pPr>
      <w:r>
        <w:rPr>
          <w:b/>
          <w:bCs/>
        </w:rPr>
        <w:t>The Post-Discharge Void:</w:t>
      </w:r>
      <w:r>
        <w:t xml:space="preserve"> For patients who were readmitted within 30 days, 64% had </w:t>
      </w:r>
      <w:r>
        <w:rPr>
          <w:i/>
          <w:iCs/>
        </w:rPr>
        <w:t>no</w:t>
      </w:r>
      <w:r>
        <w:t xml:space="preserve"> outpatient carrier claim (e.g., a doctor's visit) in the window between discharge and readmission.</w:t>
      </w:r>
    </w:p>
    <w:p w14:paraId="571B1055" w14:textId="77777777" w:rsidR="00B64956" w:rsidRDefault="003E2B82" w:rsidP="003E2B82">
      <w:pPr>
        <w:numPr>
          <w:ilvl w:val="0"/>
          <w:numId w:val="23"/>
        </w:numPr>
        <w:pBdr>
          <w:top w:val="nil"/>
          <w:left w:val="nil"/>
          <w:bottom w:val="nil"/>
          <w:right w:val="nil"/>
          <w:between w:val="nil"/>
        </w:pBdr>
        <w:jc w:val="both"/>
      </w:pPr>
      <w:r>
        <w:rPr>
          <w:b/>
          <w:bCs/>
        </w:rPr>
        <w:t>The Weekend Effect:</w:t>
      </w:r>
      <w:r>
        <w:t xml:space="preserve"> Admissions occurring on Fridays have a statistically higher length of stay (LOS) compared to mid-week admissions, likely due to reduced staffing and care coordination resources over the weekend.</w:t>
      </w:r>
    </w:p>
    <w:p w14:paraId="444E7661" w14:textId="77777777" w:rsidR="00B64956" w:rsidRDefault="003E2B82" w:rsidP="003E2B82">
      <w:pPr>
        <w:numPr>
          <w:ilvl w:val="0"/>
          <w:numId w:val="23"/>
        </w:numPr>
        <w:pBdr>
          <w:top w:val="nil"/>
          <w:left w:val="nil"/>
          <w:bottom w:val="nil"/>
          <w:right w:val="nil"/>
          <w:between w:val="nil"/>
        </w:pBdr>
        <w:jc w:val="both"/>
      </w:pPr>
      <w:r>
        <w:rPr>
          <w:b/>
          <w:bCs/>
        </w:rPr>
        <w:t>Implication:</w:t>
      </w:r>
      <w:r>
        <w:t xml:space="preserve"> The absence of data (i.e., no follow-up visit) is a powerful predictor of negative outcomes. Feature engineering must capture "days since last contact" as a dynamic variable.</w:t>
      </w:r>
    </w:p>
    <w:p w14:paraId="1120377D" w14:textId="77777777" w:rsidR="00B64956" w:rsidRDefault="003E2B82" w:rsidP="005A0156">
      <w:pPr>
        <w:pStyle w:val="Heading3"/>
        <w:jc w:val="both"/>
      </w:pPr>
      <w:r>
        <w:t>3.4 Outpatient "Leakage" and Diagnostic Signals</w:t>
      </w:r>
    </w:p>
    <w:p w14:paraId="1BFD7E7E" w14:textId="77777777" w:rsidR="00B64956" w:rsidRDefault="003E2B82" w:rsidP="005A0156">
      <w:pPr>
        <w:pBdr>
          <w:top w:val="nil"/>
          <w:left w:val="nil"/>
          <w:bottom w:val="nil"/>
          <w:right w:val="nil"/>
          <w:between w:val="nil"/>
        </w:pBdr>
        <w:jc w:val="both"/>
      </w:pPr>
      <w:r>
        <w:t>While inpatient events drive cost, outpatient signals often predict them.</w:t>
      </w:r>
    </w:p>
    <w:p w14:paraId="66EA7792" w14:textId="77777777" w:rsidR="00B64956" w:rsidRDefault="003E2B82" w:rsidP="003E2B82">
      <w:pPr>
        <w:numPr>
          <w:ilvl w:val="0"/>
          <w:numId w:val="24"/>
        </w:numPr>
        <w:pBdr>
          <w:top w:val="nil"/>
          <w:left w:val="nil"/>
          <w:bottom w:val="nil"/>
          <w:right w:val="nil"/>
          <w:between w:val="nil"/>
        </w:pBdr>
        <w:jc w:val="both"/>
      </w:pPr>
      <w:r>
        <w:rPr>
          <w:b/>
          <w:bCs/>
        </w:rPr>
        <w:t>Diagnostic Velocity:</w:t>
      </w:r>
      <w:r>
        <w:t xml:space="preserve"> We observed that for High-Risk patients, the frequency of outpatient diagnostic codes (specifically pathology and radiology) accelerates in the 3 weeks preceding an admission.</w:t>
      </w:r>
    </w:p>
    <w:p w14:paraId="4BFA0709" w14:textId="77777777" w:rsidR="00B64956" w:rsidRDefault="003E2B82" w:rsidP="003E2B82">
      <w:pPr>
        <w:numPr>
          <w:ilvl w:val="0"/>
          <w:numId w:val="24"/>
        </w:numPr>
        <w:pBdr>
          <w:top w:val="nil"/>
          <w:left w:val="nil"/>
          <w:bottom w:val="nil"/>
          <w:right w:val="nil"/>
          <w:between w:val="nil"/>
        </w:pBdr>
        <w:jc w:val="both"/>
      </w:pPr>
      <w:r>
        <w:rPr>
          <w:b/>
          <w:bCs/>
        </w:rPr>
        <w:t>Code Specifics:</w:t>
      </w:r>
      <w:r>
        <w:t xml:space="preserve"> The prevalence of codes for "Shortness of Breath" (R06.02) and "General Weakness" (R53.1) in carrier claims significantly increases prior to admissions for Heart Failure and Pneumonia. These non-specific symptoms are early warning signs of decompensation.</w:t>
      </w:r>
    </w:p>
    <w:p w14:paraId="51ECCCCB" w14:textId="641D0A9E" w:rsidR="00B64956" w:rsidRDefault="003E2B82" w:rsidP="005A0156">
      <w:pPr>
        <w:pStyle w:val="Heading2"/>
        <w:jc w:val="both"/>
      </w:pPr>
      <w:r>
        <w:t xml:space="preserve">4. Predictive </w:t>
      </w:r>
      <w:r w:rsidR="005A0156">
        <w:t>Modelling</w:t>
      </w:r>
      <w:r>
        <w:t>: The Intelligence Engine</w:t>
      </w:r>
    </w:p>
    <w:p w14:paraId="04797080" w14:textId="77777777" w:rsidR="00B64956" w:rsidRDefault="003E2B82" w:rsidP="005A0156">
      <w:pPr>
        <w:pBdr>
          <w:top w:val="nil"/>
          <w:left w:val="nil"/>
          <w:bottom w:val="nil"/>
          <w:right w:val="nil"/>
          <w:between w:val="nil"/>
        </w:pBdr>
        <w:spacing w:after="240"/>
        <w:jc w:val="both"/>
      </w:pPr>
      <w:r>
        <w:t>To transition from describing the past to predicting the future, we developed a supervised machine learning model. The objective is to classify a beneficiary's probability of experiencing an acute care event in the next 30 days based on their rolling history.</w:t>
      </w:r>
    </w:p>
    <w:p w14:paraId="41DD8F6E" w14:textId="77777777" w:rsidR="00B64956" w:rsidRDefault="003E2B82" w:rsidP="005A0156">
      <w:pPr>
        <w:pStyle w:val="Heading3"/>
        <w:spacing w:before="0"/>
        <w:jc w:val="both"/>
      </w:pPr>
      <w:r>
        <w:t>4.1 Feature Engineering</w:t>
      </w:r>
    </w:p>
    <w:p w14:paraId="6BD439E3" w14:textId="77777777" w:rsidR="00B64956" w:rsidRDefault="003E2B82" w:rsidP="005A0156">
      <w:pPr>
        <w:pBdr>
          <w:top w:val="nil"/>
          <w:left w:val="nil"/>
          <w:bottom w:val="nil"/>
          <w:right w:val="nil"/>
          <w:between w:val="nil"/>
        </w:pBdr>
        <w:spacing w:after="255"/>
        <w:jc w:val="both"/>
      </w:pPr>
      <w:r>
        <w:t>Raw claims data must be translated into "features" that a model can interpret. We engineered over 200 features across four categories:</w:t>
      </w:r>
    </w:p>
    <w:p w14:paraId="47BDABE1" w14:textId="77777777" w:rsidR="00B64956" w:rsidRDefault="003E2B82" w:rsidP="005A0156">
      <w:pPr>
        <w:pStyle w:val="Heading4"/>
        <w:spacing w:before="0"/>
        <w:jc w:val="both"/>
      </w:pPr>
      <w:r>
        <w:lastRenderedPageBreak/>
        <w:t>4.1.1 Clinical History Features</w:t>
      </w:r>
    </w:p>
    <w:p w14:paraId="5277BEAA" w14:textId="77777777" w:rsidR="00B64956" w:rsidRDefault="003E2B82" w:rsidP="003E2B82">
      <w:pPr>
        <w:numPr>
          <w:ilvl w:val="0"/>
          <w:numId w:val="25"/>
        </w:numPr>
        <w:pBdr>
          <w:top w:val="nil"/>
          <w:left w:val="nil"/>
          <w:bottom w:val="nil"/>
          <w:right w:val="nil"/>
          <w:between w:val="nil"/>
        </w:pBdr>
        <w:jc w:val="both"/>
      </w:pPr>
      <w:proofErr w:type="spellStart"/>
      <w:r>
        <w:rPr>
          <w:b/>
          <w:bCs/>
        </w:rPr>
        <w:t>Charlson</w:t>
      </w:r>
      <w:proofErr w:type="spellEnd"/>
      <w:r>
        <w:rPr>
          <w:b/>
          <w:bCs/>
        </w:rPr>
        <w:t xml:space="preserve"> Comorbidity Index (CCI):</w:t>
      </w:r>
      <w:r>
        <w:t xml:space="preserve"> A weighted score aggregating the mortality risk of various comorbidities. This is a standard actuarial metric derived from ICD-9 diagnosis codes.</w:t>
      </w:r>
    </w:p>
    <w:p w14:paraId="56DA5720" w14:textId="77777777" w:rsidR="00B64956" w:rsidRDefault="003E2B82" w:rsidP="003E2B82">
      <w:pPr>
        <w:numPr>
          <w:ilvl w:val="0"/>
          <w:numId w:val="25"/>
        </w:numPr>
        <w:pBdr>
          <w:top w:val="nil"/>
          <w:left w:val="nil"/>
          <w:bottom w:val="nil"/>
          <w:right w:val="nil"/>
          <w:between w:val="nil"/>
        </w:pBdr>
        <w:jc w:val="both"/>
      </w:pPr>
      <w:r>
        <w:rPr>
          <w:b/>
          <w:bCs/>
        </w:rPr>
        <w:t>Hierarchical Condition Categories (HCC):</w:t>
      </w:r>
      <w:r>
        <w:t xml:space="preserve"> While the full CMS HCC model is complex, we approximated it by grouping ICD codes into clinically meaningful categories (e.g., "Vascular Disease," "Metabolic Disorders").</w:t>
      </w:r>
    </w:p>
    <w:p w14:paraId="114D3886" w14:textId="77777777" w:rsidR="00B64956" w:rsidRDefault="003E2B82" w:rsidP="003E2B82">
      <w:pPr>
        <w:numPr>
          <w:ilvl w:val="0"/>
          <w:numId w:val="25"/>
        </w:numPr>
        <w:pBdr>
          <w:top w:val="nil"/>
          <w:left w:val="nil"/>
          <w:bottom w:val="nil"/>
          <w:right w:val="nil"/>
          <w:between w:val="nil"/>
        </w:pBdr>
        <w:jc w:val="both"/>
      </w:pPr>
      <w:r>
        <w:rPr>
          <w:b/>
          <w:bCs/>
        </w:rPr>
        <w:t>Previous Utilization:</w:t>
      </w:r>
      <w:r>
        <w:t xml:space="preserve"> Counts of inpatient admissions, ED visits, and observation stays in the trailing 6-month and 12-month windows. "Past history is the best predictor of future </w:t>
      </w:r>
      <w:proofErr w:type="spellStart"/>
      <w:r>
        <w:t>behavior</w:t>
      </w:r>
      <w:proofErr w:type="spellEnd"/>
      <w:r>
        <w:t>."</w:t>
      </w:r>
    </w:p>
    <w:p w14:paraId="5A7E349C" w14:textId="77777777" w:rsidR="00B64956" w:rsidRDefault="003E2B82" w:rsidP="005A0156">
      <w:pPr>
        <w:pStyle w:val="Heading4"/>
        <w:jc w:val="both"/>
      </w:pPr>
      <w:r>
        <w:t>4.1.2 Medication Adherence Features</w:t>
      </w:r>
    </w:p>
    <w:p w14:paraId="36B52CE6" w14:textId="77777777" w:rsidR="00B64956" w:rsidRDefault="003E2B82" w:rsidP="003E2B82">
      <w:pPr>
        <w:numPr>
          <w:ilvl w:val="0"/>
          <w:numId w:val="26"/>
        </w:numPr>
        <w:pBdr>
          <w:top w:val="nil"/>
          <w:left w:val="nil"/>
          <w:bottom w:val="nil"/>
          <w:right w:val="nil"/>
          <w:between w:val="nil"/>
        </w:pBdr>
        <w:jc w:val="both"/>
      </w:pPr>
      <w:r>
        <w:rPr>
          <w:b/>
          <w:bCs/>
        </w:rPr>
        <w:t>Proportion of Days Covered (PDC):</w:t>
      </w:r>
      <w:r>
        <w:t xml:space="preserve"> Calculated for key drug classes (Statins, Beta-Blockers, ACE Inhibitors). A PDC &lt; 0.80 indicates non-adherence.</w:t>
      </w:r>
    </w:p>
    <w:p w14:paraId="5F88406E" w14:textId="77777777" w:rsidR="00B64956" w:rsidRDefault="003E2B82" w:rsidP="003E2B82">
      <w:pPr>
        <w:numPr>
          <w:ilvl w:val="0"/>
          <w:numId w:val="26"/>
        </w:numPr>
        <w:pBdr>
          <w:top w:val="nil"/>
          <w:left w:val="nil"/>
          <w:bottom w:val="nil"/>
          <w:right w:val="nil"/>
          <w:between w:val="nil"/>
        </w:pBdr>
        <w:jc w:val="both"/>
      </w:pPr>
      <w:r>
        <w:rPr>
          <w:b/>
          <w:bCs/>
        </w:rPr>
        <w:t>Polypharmacy Flag:</w:t>
      </w:r>
      <w:r>
        <w:t xml:space="preserve"> A binary indicator for patients prescribed &gt;10 unique active ingredients. Polypharmacy is strongly linked to adverse drug events and falls in the elderly.</w:t>
      </w:r>
    </w:p>
    <w:p w14:paraId="091CA3BE" w14:textId="77777777" w:rsidR="00B64956" w:rsidRDefault="003E2B82" w:rsidP="005A0156">
      <w:pPr>
        <w:pStyle w:val="Heading4"/>
        <w:jc w:val="both"/>
      </w:pPr>
      <w:r>
        <w:t>4.1.3 Socio-Demographic Proxies</w:t>
      </w:r>
    </w:p>
    <w:p w14:paraId="2AC25317" w14:textId="77777777" w:rsidR="00B64956" w:rsidRDefault="003E2B82" w:rsidP="005A0156">
      <w:pPr>
        <w:numPr>
          <w:ilvl w:val="0"/>
          <w:numId w:val="2"/>
        </w:numPr>
        <w:pBdr>
          <w:top w:val="nil"/>
          <w:left w:val="nil"/>
          <w:bottom w:val="nil"/>
          <w:right w:val="nil"/>
          <w:between w:val="nil"/>
        </w:pBdr>
        <w:jc w:val="both"/>
      </w:pPr>
      <w:r>
        <w:rPr>
          <w:b/>
          <w:bCs/>
        </w:rPr>
        <w:t>Dual-Eligible Status:</w:t>
      </w:r>
      <w:r>
        <w:t xml:space="preserve"> Beneficiaries eligible for both Medicare and Medicaid serve as a proxy for low socioeconomic status (SES). Dual status is independently associated with higher readmission rates due to social determinants of health (SDOH) such as housing instability and food insecurity.</w:t>
      </w:r>
    </w:p>
    <w:p w14:paraId="7BFA737E" w14:textId="77777777" w:rsidR="00B64956" w:rsidRDefault="003E2B82" w:rsidP="005A0156">
      <w:pPr>
        <w:numPr>
          <w:ilvl w:val="0"/>
          <w:numId w:val="2"/>
        </w:numPr>
        <w:pBdr>
          <w:top w:val="nil"/>
          <w:left w:val="nil"/>
          <w:bottom w:val="nil"/>
          <w:right w:val="nil"/>
          <w:between w:val="nil"/>
        </w:pBdr>
        <w:jc w:val="both"/>
      </w:pPr>
      <w:r>
        <w:rPr>
          <w:b/>
          <w:bCs/>
        </w:rPr>
        <w:t>Age/Frailty Interaction:</w:t>
      </w:r>
      <w:r>
        <w:t xml:space="preserve"> An interaction term combining Age &gt; 80 with claims evidence of durable medical equipment (DME) use (e.g., walkers, oxygen), serving as a proxy for frailty.</w:t>
      </w:r>
    </w:p>
    <w:p w14:paraId="522D9651" w14:textId="77777777" w:rsidR="00B64956" w:rsidRDefault="003E2B82" w:rsidP="005A0156">
      <w:pPr>
        <w:pStyle w:val="Heading4"/>
        <w:jc w:val="both"/>
      </w:pPr>
      <w:r>
        <w:t>4.1.4 Temporal Dynamics</w:t>
      </w:r>
    </w:p>
    <w:p w14:paraId="39EC90D8" w14:textId="77777777" w:rsidR="00B64956" w:rsidRDefault="003E2B82" w:rsidP="005A0156">
      <w:pPr>
        <w:numPr>
          <w:ilvl w:val="0"/>
          <w:numId w:val="3"/>
        </w:numPr>
        <w:pBdr>
          <w:top w:val="nil"/>
          <w:left w:val="nil"/>
          <w:bottom w:val="nil"/>
          <w:right w:val="nil"/>
          <w:between w:val="nil"/>
        </w:pBdr>
        <w:jc w:val="both"/>
      </w:pPr>
      <w:r>
        <w:rPr>
          <w:b/>
          <w:bCs/>
        </w:rPr>
        <w:t>Recency:</w:t>
      </w:r>
      <w:r>
        <w:t xml:space="preserve"> Days since last primary care visit.</w:t>
      </w:r>
    </w:p>
    <w:p w14:paraId="437D8C21" w14:textId="77777777" w:rsidR="00B64956" w:rsidRDefault="003E2B82" w:rsidP="005A0156">
      <w:pPr>
        <w:numPr>
          <w:ilvl w:val="0"/>
          <w:numId w:val="3"/>
        </w:numPr>
        <w:pBdr>
          <w:top w:val="nil"/>
          <w:left w:val="nil"/>
          <w:bottom w:val="nil"/>
          <w:right w:val="nil"/>
          <w:between w:val="nil"/>
        </w:pBdr>
        <w:jc w:val="both"/>
      </w:pPr>
      <w:r>
        <w:rPr>
          <w:b/>
          <w:bCs/>
        </w:rPr>
        <w:t>Velocity:</w:t>
      </w:r>
      <w:r>
        <w:t xml:space="preserve"> The rate of change in claim count over the last 3 months vs. the last 12 months. A positive velocity indicates accelerating utilization.</w:t>
      </w:r>
    </w:p>
    <w:p w14:paraId="4275A9C7" w14:textId="77777777" w:rsidR="00B64956" w:rsidRDefault="003E2B82" w:rsidP="005A0156">
      <w:pPr>
        <w:pStyle w:val="Heading3"/>
        <w:jc w:val="both"/>
      </w:pPr>
      <w:r>
        <w:t>4.2 Model Selection and Architecture</w:t>
      </w:r>
    </w:p>
    <w:p w14:paraId="36FEFE53" w14:textId="77777777" w:rsidR="00B64956" w:rsidRDefault="003E2B82" w:rsidP="005A0156">
      <w:pPr>
        <w:pBdr>
          <w:top w:val="nil"/>
          <w:left w:val="nil"/>
          <w:bottom w:val="nil"/>
          <w:right w:val="nil"/>
          <w:between w:val="nil"/>
        </w:pBdr>
        <w:jc w:val="both"/>
      </w:pPr>
      <w:r>
        <w:t>We evaluated three distinct algorithm classes for this binary classification task:</w:t>
      </w:r>
    </w:p>
    <w:p w14:paraId="6F6F977B" w14:textId="77777777" w:rsidR="00B64956" w:rsidRDefault="003E2B82" w:rsidP="005A0156">
      <w:pPr>
        <w:numPr>
          <w:ilvl w:val="0"/>
          <w:numId w:val="4"/>
        </w:numPr>
        <w:pBdr>
          <w:top w:val="nil"/>
          <w:left w:val="nil"/>
          <w:bottom w:val="nil"/>
          <w:right w:val="nil"/>
          <w:between w:val="nil"/>
        </w:pBdr>
        <w:jc w:val="both"/>
      </w:pPr>
      <w:r>
        <w:rPr>
          <w:b/>
          <w:bCs/>
        </w:rPr>
        <w:t>Logistic Regression (LR):</w:t>
      </w:r>
      <w:r>
        <w:t xml:space="preserve"> The baseline model. Highly interpretable but struggles with non-linear relationships and high-dimensional feature spaces.</w:t>
      </w:r>
    </w:p>
    <w:p w14:paraId="27134804" w14:textId="77777777" w:rsidR="00B64956" w:rsidRDefault="003E2B82" w:rsidP="005A0156">
      <w:pPr>
        <w:numPr>
          <w:ilvl w:val="0"/>
          <w:numId w:val="4"/>
        </w:numPr>
        <w:pBdr>
          <w:top w:val="nil"/>
          <w:left w:val="nil"/>
          <w:bottom w:val="nil"/>
          <w:right w:val="nil"/>
          <w:between w:val="nil"/>
        </w:pBdr>
        <w:jc w:val="both"/>
      </w:pPr>
      <w:r>
        <w:rPr>
          <w:b/>
          <w:bCs/>
        </w:rPr>
        <w:t>Random Forest (RF):</w:t>
      </w:r>
      <w:r>
        <w:t xml:space="preserve"> An ensemble method that handles non-linearities well but can be prone to overfitting if not carefully tuned.</w:t>
      </w:r>
    </w:p>
    <w:p w14:paraId="29BE7E85" w14:textId="77777777" w:rsidR="00B64956" w:rsidRDefault="003E2B82" w:rsidP="005A0156">
      <w:pPr>
        <w:numPr>
          <w:ilvl w:val="0"/>
          <w:numId w:val="4"/>
        </w:numPr>
        <w:pBdr>
          <w:top w:val="nil"/>
          <w:left w:val="nil"/>
          <w:bottom w:val="nil"/>
          <w:right w:val="nil"/>
          <w:between w:val="nil"/>
        </w:pBdr>
        <w:jc w:val="both"/>
      </w:pPr>
      <w:proofErr w:type="spellStart"/>
      <w:r>
        <w:rPr>
          <w:b/>
          <w:bCs/>
        </w:rPr>
        <w:t>XGBoost</w:t>
      </w:r>
      <w:proofErr w:type="spellEnd"/>
      <w:r>
        <w:rPr>
          <w:b/>
          <w:bCs/>
        </w:rPr>
        <w:t xml:space="preserve"> (Extreme Gradient Boosting):</w:t>
      </w:r>
      <w:r>
        <w:t xml:space="preserve"> A gradient-boosted decision tree algorithm.</w:t>
      </w:r>
    </w:p>
    <w:p w14:paraId="0C088F95" w14:textId="77777777" w:rsidR="00B64956" w:rsidRDefault="003E2B82" w:rsidP="005A0156">
      <w:pPr>
        <w:pBdr>
          <w:top w:val="nil"/>
          <w:left w:val="nil"/>
          <w:bottom w:val="nil"/>
          <w:right w:val="nil"/>
          <w:between w:val="nil"/>
        </w:pBdr>
        <w:jc w:val="both"/>
      </w:pPr>
      <w:r>
        <w:rPr>
          <w:b/>
          <w:bCs/>
        </w:rPr>
        <w:t>Selection:</w:t>
      </w:r>
      <w:r>
        <w:t xml:space="preserve"> </w:t>
      </w:r>
      <w:proofErr w:type="spellStart"/>
      <w:r>
        <w:rPr>
          <w:b/>
          <w:bCs/>
        </w:rPr>
        <w:t>XGBoost</w:t>
      </w:r>
      <w:proofErr w:type="spellEnd"/>
      <w:r>
        <w:t xml:space="preserve"> was selected as the production model.</w:t>
      </w:r>
    </w:p>
    <w:p w14:paraId="3F7903BF" w14:textId="77777777" w:rsidR="00B64956" w:rsidRDefault="003E2B82" w:rsidP="005A0156">
      <w:pPr>
        <w:numPr>
          <w:ilvl w:val="0"/>
          <w:numId w:val="5"/>
        </w:numPr>
        <w:pBdr>
          <w:top w:val="nil"/>
          <w:left w:val="nil"/>
          <w:bottom w:val="nil"/>
          <w:right w:val="nil"/>
          <w:between w:val="nil"/>
        </w:pBdr>
        <w:jc w:val="both"/>
      </w:pPr>
      <w:r>
        <w:rPr>
          <w:b/>
          <w:bCs/>
        </w:rPr>
        <w:t>Performance:</w:t>
      </w:r>
      <w:r>
        <w:t xml:space="preserve"> It consistently outperformed LR and RF in validation, achieving higher sensitivity at low false-positive rates.</w:t>
      </w:r>
    </w:p>
    <w:p w14:paraId="20918E34" w14:textId="77777777" w:rsidR="00B64956" w:rsidRDefault="003E2B82" w:rsidP="005A0156">
      <w:pPr>
        <w:numPr>
          <w:ilvl w:val="0"/>
          <w:numId w:val="5"/>
        </w:numPr>
        <w:pBdr>
          <w:top w:val="nil"/>
          <w:left w:val="nil"/>
          <w:bottom w:val="nil"/>
          <w:right w:val="nil"/>
          <w:between w:val="nil"/>
        </w:pBdr>
        <w:jc w:val="both"/>
      </w:pPr>
      <w:r>
        <w:rPr>
          <w:b/>
          <w:bCs/>
        </w:rPr>
        <w:t>Handling Sparsity:</w:t>
      </w:r>
      <w:r>
        <w:t xml:space="preserve"> Claims data is sparse (a patient has only a few of thousands of possible codes). </w:t>
      </w:r>
      <w:proofErr w:type="spellStart"/>
      <w:r>
        <w:t>XGBoost's</w:t>
      </w:r>
      <w:proofErr w:type="spellEnd"/>
      <w:r>
        <w:t xml:space="preserve"> sparsity-aware split finding algorithm is optimized for this data structure.</w:t>
      </w:r>
    </w:p>
    <w:p w14:paraId="0B09363D" w14:textId="77777777" w:rsidR="00B64956" w:rsidRDefault="003E2B82" w:rsidP="005A0156">
      <w:pPr>
        <w:numPr>
          <w:ilvl w:val="0"/>
          <w:numId w:val="5"/>
        </w:numPr>
        <w:pBdr>
          <w:top w:val="nil"/>
          <w:left w:val="nil"/>
          <w:bottom w:val="nil"/>
          <w:right w:val="nil"/>
          <w:between w:val="nil"/>
        </w:pBdr>
        <w:jc w:val="both"/>
      </w:pPr>
      <w:r>
        <w:rPr>
          <w:b/>
          <w:bCs/>
        </w:rPr>
        <w:t>Interpretability:</w:t>
      </w:r>
      <w:r>
        <w:t xml:space="preserve"> Through SHAP (</w:t>
      </w:r>
      <w:proofErr w:type="spellStart"/>
      <w:r>
        <w:t>SHapley</w:t>
      </w:r>
      <w:proofErr w:type="spellEnd"/>
      <w:r>
        <w:t xml:space="preserve"> Additive </w:t>
      </w:r>
      <w:proofErr w:type="spellStart"/>
      <w:r>
        <w:t>exPlanations</w:t>
      </w:r>
      <w:proofErr w:type="spellEnd"/>
      <w:r>
        <w:t xml:space="preserve">) values, </w:t>
      </w:r>
      <w:proofErr w:type="spellStart"/>
      <w:r>
        <w:t>XGBoost</w:t>
      </w:r>
      <w:proofErr w:type="spellEnd"/>
      <w:r>
        <w:t xml:space="preserve"> provides feature importance rankings, which are crucial for explaining </w:t>
      </w:r>
      <w:r>
        <w:rPr>
          <w:i/>
          <w:iCs/>
        </w:rPr>
        <w:t>why</w:t>
      </w:r>
      <w:r>
        <w:t xml:space="preserve"> a patient is high-risk to clinicians.</w:t>
      </w:r>
    </w:p>
    <w:p w14:paraId="67375C70" w14:textId="77777777" w:rsidR="005A0156" w:rsidRDefault="005A0156" w:rsidP="005A0156">
      <w:pPr>
        <w:pStyle w:val="Heading3"/>
        <w:jc w:val="both"/>
      </w:pPr>
    </w:p>
    <w:p w14:paraId="6C9B5170" w14:textId="77777777" w:rsidR="005A0156" w:rsidRDefault="005A0156" w:rsidP="005A0156">
      <w:pPr>
        <w:pStyle w:val="Heading3"/>
        <w:jc w:val="both"/>
      </w:pPr>
    </w:p>
    <w:p w14:paraId="7B72715D" w14:textId="51E22B13" w:rsidR="00B64956" w:rsidRDefault="003E2B82" w:rsidP="005A0156">
      <w:pPr>
        <w:pStyle w:val="Heading3"/>
        <w:jc w:val="both"/>
      </w:pPr>
      <w:r>
        <w:lastRenderedPageBreak/>
        <w:t>4.3 Training and Validation Strategy</w:t>
      </w:r>
    </w:p>
    <w:p w14:paraId="7073E741" w14:textId="77777777" w:rsidR="00B64956" w:rsidRDefault="003E2B82" w:rsidP="005A0156">
      <w:pPr>
        <w:numPr>
          <w:ilvl w:val="0"/>
          <w:numId w:val="6"/>
        </w:numPr>
        <w:pBdr>
          <w:top w:val="nil"/>
          <w:left w:val="nil"/>
          <w:bottom w:val="nil"/>
          <w:right w:val="nil"/>
          <w:between w:val="nil"/>
        </w:pBdr>
        <w:jc w:val="both"/>
      </w:pPr>
      <w:r>
        <w:rPr>
          <w:b/>
          <w:bCs/>
        </w:rPr>
        <w:t>Data Split:</w:t>
      </w:r>
      <w:r>
        <w:t xml:space="preserve"> Temporal splitting was used to prevent data leakage. The model was trained on data from 2008-2009 and validated on 2010 outcomes.</w:t>
      </w:r>
    </w:p>
    <w:p w14:paraId="297BAD2A" w14:textId="77777777" w:rsidR="00B64956" w:rsidRDefault="003E2B82" w:rsidP="005A0156">
      <w:pPr>
        <w:numPr>
          <w:ilvl w:val="0"/>
          <w:numId w:val="6"/>
        </w:numPr>
        <w:pBdr>
          <w:top w:val="nil"/>
          <w:left w:val="nil"/>
          <w:bottom w:val="nil"/>
          <w:right w:val="nil"/>
          <w:between w:val="nil"/>
        </w:pBdr>
        <w:jc w:val="both"/>
      </w:pPr>
      <w:r>
        <w:rPr>
          <w:b/>
          <w:bCs/>
        </w:rPr>
        <w:t>Class Imbalance:</w:t>
      </w:r>
      <w:r>
        <w:t xml:space="preserve"> Readmissions are rare events (prevalence ~15%). We employed </w:t>
      </w:r>
      <w:r>
        <w:rPr>
          <w:b/>
          <w:bCs/>
        </w:rPr>
        <w:t>SMOTE (Synthetic Minority Over-sampling Technique)</w:t>
      </w:r>
      <w:r>
        <w:t xml:space="preserve"> on the training set to balance the classes, ensuring the model did not simply bias toward the majority class (non-readmission).</w:t>
      </w:r>
    </w:p>
    <w:p w14:paraId="08AEE42D" w14:textId="77777777" w:rsidR="00B64956" w:rsidRDefault="003E2B82" w:rsidP="005A0156">
      <w:pPr>
        <w:numPr>
          <w:ilvl w:val="0"/>
          <w:numId w:val="6"/>
        </w:numPr>
        <w:pBdr>
          <w:top w:val="nil"/>
          <w:left w:val="nil"/>
          <w:bottom w:val="nil"/>
          <w:right w:val="nil"/>
          <w:between w:val="nil"/>
        </w:pBdr>
        <w:jc w:val="both"/>
      </w:pPr>
      <w:r>
        <w:rPr>
          <w:b/>
          <w:bCs/>
        </w:rPr>
        <w:t>Hyperparameter Tuning:</w:t>
      </w:r>
      <w:r>
        <w:t xml:space="preserve"> Grid search was performed to optimize </w:t>
      </w:r>
      <w:proofErr w:type="spellStart"/>
      <w:r>
        <w:t>max_depth</w:t>
      </w:r>
      <w:proofErr w:type="spellEnd"/>
      <w:r>
        <w:t xml:space="preserve"> (tree depth), </w:t>
      </w:r>
      <w:proofErr w:type="spellStart"/>
      <w:r>
        <w:t>learning_rate</w:t>
      </w:r>
      <w:proofErr w:type="spellEnd"/>
      <w:r>
        <w:t xml:space="preserve">, and </w:t>
      </w:r>
      <w:proofErr w:type="spellStart"/>
      <w:r>
        <w:t>n_estimators</w:t>
      </w:r>
      <w:proofErr w:type="spellEnd"/>
      <w:r>
        <w:t>.</w:t>
      </w:r>
    </w:p>
    <w:p w14:paraId="38744380" w14:textId="77777777" w:rsidR="00B64956" w:rsidRDefault="003E2B82" w:rsidP="005A0156">
      <w:pPr>
        <w:pStyle w:val="Heading3"/>
        <w:jc w:val="both"/>
      </w:pPr>
      <w:r>
        <w:t>4.4 Model Performance Results</w:t>
      </w:r>
    </w:p>
    <w:p w14:paraId="5F4E6555" w14:textId="77777777" w:rsidR="00B64956" w:rsidRDefault="003E2B82" w:rsidP="005A0156">
      <w:pPr>
        <w:pBdr>
          <w:top w:val="nil"/>
          <w:left w:val="nil"/>
          <w:bottom w:val="nil"/>
          <w:right w:val="nil"/>
          <w:between w:val="nil"/>
        </w:pBdr>
        <w:jc w:val="both"/>
      </w:pPr>
      <w:r>
        <w:t xml:space="preserve">The final </w:t>
      </w:r>
      <w:proofErr w:type="spellStart"/>
      <w:r>
        <w:t>XGBoost</w:t>
      </w:r>
      <w:proofErr w:type="spellEnd"/>
      <w:r>
        <w:t xml:space="preserve"> model demonstrated robust predictive power.</w:t>
      </w:r>
    </w:p>
    <w:tbl>
      <w:tblPr>
        <w:tblStyle w:val="a0"/>
        <w:tblW w:w="107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4523"/>
      </w:tblGrid>
      <w:tr w:rsidR="00B64956" w14:paraId="484F733F" w14:textId="77777777" w:rsidTr="005A0156">
        <w:trPr>
          <w:tblHeader/>
        </w:trPr>
        <w:tc>
          <w:tcPr>
            <w:tcW w:w="3120" w:type="dxa"/>
            <w:shd w:val="clear" w:color="auto" w:fill="auto"/>
            <w:tcMar>
              <w:top w:w="0" w:type="dxa"/>
              <w:left w:w="0" w:type="dxa"/>
              <w:bottom w:w="0" w:type="dxa"/>
              <w:right w:w="0" w:type="dxa"/>
            </w:tcMar>
          </w:tcPr>
          <w:p w14:paraId="5D9253EE" w14:textId="77777777" w:rsidR="00B64956" w:rsidRDefault="003E2B82" w:rsidP="005A0156">
            <w:pPr>
              <w:pBdr>
                <w:top w:val="nil"/>
                <w:left w:val="nil"/>
                <w:bottom w:val="nil"/>
                <w:right w:val="nil"/>
                <w:between w:val="nil"/>
              </w:pBdr>
              <w:jc w:val="both"/>
            </w:pPr>
            <w:r>
              <w:t>Metric</w:t>
            </w:r>
          </w:p>
        </w:tc>
        <w:tc>
          <w:tcPr>
            <w:tcW w:w="3120" w:type="dxa"/>
            <w:shd w:val="clear" w:color="auto" w:fill="auto"/>
            <w:tcMar>
              <w:top w:w="0" w:type="dxa"/>
              <w:left w:w="0" w:type="dxa"/>
              <w:bottom w:w="0" w:type="dxa"/>
              <w:right w:w="0" w:type="dxa"/>
            </w:tcMar>
          </w:tcPr>
          <w:p w14:paraId="51AABA6F" w14:textId="77777777" w:rsidR="00B64956" w:rsidRDefault="003E2B82" w:rsidP="005A0156">
            <w:pPr>
              <w:pBdr>
                <w:top w:val="nil"/>
                <w:left w:val="nil"/>
                <w:bottom w:val="nil"/>
                <w:right w:val="nil"/>
                <w:between w:val="nil"/>
              </w:pBdr>
              <w:jc w:val="both"/>
            </w:pPr>
            <w:r>
              <w:t>Score</w:t>
            </w:r>
          </w:p>
        </w:tc>
        <w:tc>
          <w:tcPr>
            <w:tcW w:w="4523" w:type="dxa"/>
            <w:shd w:val="clear" w:color="auto" w:fill="auto"/>
            <w:tcMar>
              <w:top w:w="0" w:type="dxa"/>
              <w:left w:w="0" w:type="dxa"/>
              <w:bottom w:w="0" w:type="dxa"/>
              <w:right w:w="0" w:type="dxa"/>
            </w:tcMar>
          </w:tcPr>
          <w:p w14:paraId="1DBF2086" w14:textId="77777777" w:rsidR="00B64956" w:rsidRDefault="003E2B82" w:rsidP="005A0156">
            <w:pPr>
              <w:pBdr>
                <w:top w:val="nil"/>
                <w:left w:val="nil"/>
                <w:bottom w:val="nil"/>
                <w:right w:val="nil"/>
                <w:between w:val="nil"/>
              </w:pBdr>
              <w:jc w:val="both"/>
            </w:pPr>
            <w:r>
              <w:t>Interpretation</w:t>
            </w:r>
          </w:p>
        </w:tc>
      </w:tr>
      <w:tr w:rsidR="00B64956" w14:paraId="4A0CF1F7" w14:textId="77777777" w:rsidTr="005A0156">
        <w:tc>
          <w:tcPr>
            <w:tcW w:w="3120" w:type="dxa"/>
            <w:shd w:val="clear" w:color="auto" w:fill="auto"/>
            <w:tcMar>
              <w:top w:w="0" w:type="dxa"/>
              <w:left w:w="0" w:type="dxa"/>
              <w:bottom w:w="0" w:type="dxa"/>
              <w:right w:w="0" w:type="dxa"/>
            </w:tcMar>
          </w:tcPr>
          <w:p w14:paraId="2B050511" w14:textId="77777777" w:rsidR="00B64956" w:rsidRDefault="003E2B82" w:rsidP="005A0156">
            <w:pPr>
              <w:pBdr>
                <w:top w:val="nil"/>
                <w:left w:val="nil"/>
                <w:bottom w:val="nil"/>
                <w:right w:val="nil"/>
                <w:between w:val="nil"/>
              </w:pBdr>
              <w:jc w:val="both"/>
              <w:rPr>
                <w:b/>
                <w:bCs/>
              </w:rPr>
            </w:pPr>
            <w:r>
              <w:rPr>
                <w:b/>
                <w:bCs/>
              </w:rPr>
              <w:t>AUC-ROC</w:t>
            </w:r>
          </w:p>
        </w:tc>
        <w:tc>
          <w:tcPr>
            <w:tcW w:w="3120" w:type="dxa"/>
            <w:shd w:val="clear" w:color="auto" w:fill="auto"/>
            <w:tcMar>
              <w:top w:w="0" w:type="dxa"/>
              <w:left w:w="0" w:type="dxa"/>
              <w:bottom w:w="0" w:type="dxa"/>
              <w:right w:w="0" w:type="dxa"/>
            </w:tcMar>
          </w:tcPr>
          <w:p w14:paraId="7AA01418" w14:textId="77777777" w:rsidR="00B64956" w:rsidRDefault="003E2B82" w:rsidP="005A0156">
            <w:pPr>
              <w:pBdr>
                <w:top w:val="nil"/>
                <w:left w:val="nil"/>
                <w:bottom w:val="nil"/>
                <w:right w:val="nil"/>
                <w:between w:val="nil"/>
              </w:pBdr>
              <w:jc w:val="both"/>
              <w:rPr>
                <w:b/>
                <w:bCs/>
              </w:rPr>
            </w:pPr>
            <w:r>
              <w:rPr>
                <w:b/>
                <w:bCs/>
              </w:rPr>
              <w:t>0.815</w:t>
            </w:r>
          </w:p>
        </w:tc>
        <w:tc>
          <w:tcPr>
            <w:tcW w:w="4523" w:type="dxa"/>
            <w:shd w:val="clear" w:color="auto" w:fill="auto"/>
            <w:tcMar>
              <w:top w:w="0" w:type="dxa"/>
              <w:left w:w="0" w:type="dxa"/>
              <w:bottom w:w="0" w:type="dxa"/>
              <w:right w:w="0" w:type="dxa"/>
            </w:tcMar>
          </w:tcPr>
          <w:p w14:paraId="6A2FE263" w14:textId="77777777" w:rsidR="00B64956" w:rsidRDefault="003E2B82" w:rsidP="005A0156">
            <w:pPr>
              <w:pBdr>
                <w:top w:val="nil"/>
                <w:left w:val="nil"/>
                <w:bottom w:val="nil"/>
                <w:right w:val="nil"/>
                <w:between w:val="nil"/>
              </w:pBdr>
              <w:jc w:val="both"/>
            </w:pPr>
            <w:r>
              <w:t>Good discrimination ability. Significantly better than random chance (0.5).</w:t>
            </w:r>
          </w:p>
        </w:tc>
      </w:tr>
      <w:tr w:rsidR="00B64956" w14:paraId="0B7CBF89" w14:textId="77777777" w:rsidTr="005A0156">
        <w:tc>
          <w:tcPr>
            <w:tcW w:w="3120" w:type="dxa"/>
            <w:shd w:val="clear" w:color="auto" w:fill="auto"/>
            <w:tcMar>
              <w:top w:w="0" w:type="dxa"/>
              <w:left w:w="0" w:type="dxa"/>
              <w:bottom w:w="0" w:type="dxa"/>
              <w:right w:w="0" w:type="dxa"/>
            </w:tcMar>
          </w:tcPr>
          <w:p w14:paraId="6DAB7030" w14:textId="77777777" w:rsidR="00B64956" w:rsidRDefault="003E2B82" w:rsidP="005A0156">
            <w:pPr>
              <w:pBdr>
                <w:top w:val="nil"/>
                <w:left w:val="nil"/>
                <w:bottom w:val="nil"/>
                <w:right w:val="nil"/>
                <w:between w:val="nil"/>
              </w:pBdr>
              <w:jc w:val="both"/>
              <w:rPr>
                <w:b/>
                <w:bCs/>
              </w:rPr>
            </w:pPr>
            <w:r>
              <w:rPr>
                <w:b/>
                <w:bCs/>
              </w:rPr>
              <w:t>Precision</w:t>
            </w:r>
          </w:p>
        </w:tc>
        <w:tc>
          <w:tcPr>
            <w:tcW w:w="3120" w:type="dxa"/>
            <w:shd w:val="clear" w:color="auto" w:fill="auto"/>
            <w:tcMar>
              <w:top w:w="0" w:type="dxa"/>
              <w:left w:w="0" w:type="dxa"/>
              <w:bottom w:w="0" w:type="dxa"/>
              <w:right w:w="0" w:type="dxa"/>
            </w:tcMar>
          </w:tcPr>
          <w:p w14:paraId="64FBCB02" w14:textId="77777777" w:rsidR="00B64956" w:rsidRDefault="003E2B82" w:rsidP="005A0156">
            <w:pPr>
              <w:pBdr>
                <w:top w:val="nil"/>
                <w:left w:val="nil"/>
                <w:bottom w:val="nil"/>
                <w:right w:val="nil"/>
                <w:between w:val="nil"/>
              </w:pBdr>
              <w:jc w:val="both"/>
            </w:pPr>
            <w:r>
              <w:t>0.62</w:t>
            </w:r>
          </w:p>
        </w:tc>
        <w:tc>
          <w:tcPr>
            <w:tcW w:w="4523" w:type="dxa"/>
            <w:shd w:val="clear" w:color="auto" w:fill="auto"/>
            <w:tcMar>
              <w:top w:w="0" w:type="dxa"/>
              <w:left w:w="0" w:type="dxa"/>
              <w:bottom w:w="0" w:type="dxa"/>
              <w:right w:w="0" w:type="dxa"/>
            </w:tcMar>
          </w:tcPr>
          <w:p w14:paraId="2AA80962" w14:textId="77777777" w:rsidR="00B64956" w:rsidRDefault="003E2B82" w:rsidP="005A0156">
            <w:pPr>
              <w:pBdr>
                <w:top w:val="nil"/>
                <w:left w:val="nil"/>
                <w:bottom w:val="nil"/>
                <w:right w:val="nil"/>
                <w:between w:val="nil"/>
              </w:pBdr>
              <w:jc w:val="both"/>
            </w:pPr>
            <w:r>
              <w:t>Of predicted high-risk patients, 62% actually had an event.</w:t>
            </w:r>
          </w:p>
        </w:tc>
      </w:tr>
      <w:tr w:rsidR="00B64956" w14:paraId="2FE0E586" w14:textId="77777777" w:rsidTr="005A0156">
        <w:tc>
          <w:tcPr>
            <w:tcW w:w="3120" w:type="dxa"/>
            <w:shd w:val="clear" w:color="auto" w:fill="auto"/>
            <w:tcMar>
              <w:top w:w="0" w:type="dxa"/>
              <w:left w:w="0" w:type="dxa"/>
              <w:bottom w:w="0" w:type="dxa"/>
              <w:right w:w="0" w:type="dxa"/>
            </w:tcMar>
          </w:tcPr>
          <w:p w14:paraId="4BCC9075" w14:textId="77777777" w:rsidR="00B64956" w:rsidRDefault="003E2B82" w:rsidP="005A0156">
            <w:pPr>
              <w:pBdr>
                <w:top w:val="nil"/>
                <w:left w:val="nil"/>
                <w:bottom w:val="nil"/>
                <w:right w:val="nil"/>
                <w:between w:val="nil"/>
              </w:pBdr>
              <w:jc w:val="both"/>
              <w:rPr>
                <w:b/>
                <w:bCs/>
              </w:rPr>
            </w:pPr>
            <w:r>
              <w:rPr>
                <w:b/>
                <w:bCs/>
              </w:rPr>
              <w:t>Recall (Sensitivity)</w:t>
            </w:r>
          </w:p>
        </w:tc>
        <w:tc>
          <w:tcPr>
            <w:tcW w:w="3120" w:type="dxa"/>
            <w:shd w:val="clear" w:color="auto" w:fill="auto"/>
            <w:tcMar>
              <w:top w:w="0" w:type="dxa"/>
              <w:left w:w="0" w:type="dxa"/>
              <w:bottom w:w="0" w:type="dxa"/>
              <w:right w:w="0" w:type="dxa"/>
            </w:tcMar>
          </w:tcPr>
          <w:p w14:paraId="01CEC05C" w14:textId="77777777" w:rsidR="00B64956" w:rsidRDefault="003E2B82" w:rsidP="005A0156">
            <w:pPr>
              <w:pBdr>
                <w:top w:val="nil"/>
                <w:left w:val="nil"/>
                <w:bottom w:val="nil"/>
                <w:right w:val="nil"/>
                <w:between w:val="nil"/>
              </w:pBdr>
              <w:jc w:val="both"/>
            </w:pPr>
            <w:r>
              <w:t>0.74</w:t>
            </w:r>
          </w:p>
        </w:tc>
        <w:tc>
          <w:tcPr>
            <w:tcW w:w="4523" w:type="dxa"/>
            <w:shd w:val="clear" w:color="auto" w:fill="auto"/>
            <w:tcMar>
              <w:top w:w="0" w:type="dxa"/>
              <w:left w:w="0" w:type="dxa"/>
              <w:bottom w:w="0" w:type="dxa"/>
              <w:right w:w="0" w:type="dxa"/>
            </w:tcMar>
          </w:tcPr>
          <w:p w14:paraId="73B63374" w14:textId="77777777" w:rsidR="00B64956" w:rsidRDefault="003E2B82" w:rsidP="005A0156">
            <w:pPr>
              <w:pBdr>
                <w:top w:val="nil"/>
                <w:left w:val="nil"/>
                <w:bottom w:val="nil"/>
                <w:right w:val="nil"/>
                <w:between w:val="nil"/>
              </w:pBdr>
              <w:jc w:val="both"/>
            </w:pPr>
            <w:r>
              <w:t>The model successfully captured 74% of all actual readmissions.</w:t>
            </w:r>
          </w:p>
        </w:tc>
      </w:tr>
      <w:tr w:rsidR="00B64956" w14:paraId="719ACE2C" w14:textId="77777777" w:rsidTr="005A0156">
        <w:tc>
          <w:tcPr>
            <w:tcW w:w="3120" w:type="dxa"/>
            <w:shd w:val="clear" w:color="auto" w:fill="auto"/>
            <w:tcMar>
              <w:top w:w="0" w:type="dxa"/>
              <w:left w:w="0" w:type="dxa"/>
              <w:bottom w:w="0" w:type="dxa"/>
              <w:right w:w="0" w:type="dxa"/>
            </w:tcMar>
          </w:tcPr>
          <w:p w14:paraId="61D22450" w14:textId="77777777" w:rsidR="00B64956" w:rsidRDefault="003E2B82" w:rsidP="005A0156">
            <w:pPr>
              <w:pBdr>
                <w:top w:val="nil"/>
                <w:left w:val="nil"/>
                <w:bottom w:val="nil"/>
                <w:right w:val="nil"/>
                <w:between w:val="nil"/>
              </w:pBdr>
              <w:jc w:val="both"/>
              <w:rPr>
                <w:b/>
                <w:bCs/>
              </w:rPr>
            </w:pPr>
            <w:r>
              <w:rPr>
                <w:b/>
                <w:bCs/>
              </w:rPr>
              <w:t>F1-Score</w:t>
            </w:r>
          </w:p>
        </w:tc>
        <w:tc>
          <w:tcPr>
            <w:tcW w:w="3120" w:type="dxa"/>
            <w:shd w:val="clear" w:color="auto" w:fill="auto"/>
            <w:tcMar>
              <w:top w:w="0" w:type="dxa"/>
              <w:left w:w="0" w:type="dxa"/>
              <w:bottom w:w="0" w:type="dxa"/>
              <w:right w:w="0" w:type="dxa"/>
            </w:tcMar>
          </w:tcPr>
          <w:p w14:paraId="55C7FAB6" w14:textId="77777777" w:rsidR="00B64956" w:rsidRDefault="003E2B82" w:rsidP="005A0156">
            <w:pPr>
              <w:pBdr>
                <w:top w:val="nil"/>
                <w:left w:val="nil"/>
                <w:bottom w:val="nil"/>
                <w:right w:val="nil"/>
                <w:between w:val="nil"/>
              </w:pBdr>
              <w:jc w:val="both"/>
            </w:pPr>
            <w:r>
              <w:t>0.67</w:t>
            </w:r>
          </w:p>
        </w:tc>
        <w:tc>
          <w:tcPr>
            <w:tcW w:w="4523" w:type="dxa"/>
            <w:shd w:val="clear" w:color="auto" w:fill="auto"/>
            <w:tcMar>
              <w:top w:w="0" w:type="dxa"/>
              <w:left w:w="0" w:type="dxa"/>
              <w:bottom w:w="0" w:type="dxa"/>
              <w:right w:w="0" w:type="dxa"/>
            </w:tcMar>
          </w:tcPr>
          <w:p w14:paraId="73E9F64D" w14:textId="77777777" w:rsidR="00B64956" w:rsidRDefault="003E2B82" w:rsidP="005A0156">
            <w:pPr>
              <w:pBdr>
                <w:top w:val="nil"/>
                <w:left w:val="nil"/>
                <w:bottom w:val="nil"/>
                <w:right w:val="nil"/>
                <w:between w:val="nil"/>
              </w:pBdr>
              <w:jc w:val="both"/>
            </w:pPr>
            <w:r>
              <w:t>A balanced measure of precision and recall.</w:t>
            </w:r>
          </w:p>
        </w:tc>
      </w:tr>
    </w:tbl>
    <w:p w14:paraId="2AE68956" w14:textId="77777777" w:rsidR="005A0156" w:rsidRDefault="005A0156" w:rsidP="005A0156">
      <w:pPr>
        <w:pBdr>
          <w:top w:val="nil"/>
          <w:left w:val="nil"/>
          <w:bottom w:val="nil"/>
          <w:right w:val="nil"/>
          <w:between w:val="nil"/>
        </w:pBdr>
        <w:jc w:val="both"/>
        <w:rPr>
          <w:i/>
          <w:iCs/>
        </w:rPr>
      </w:pPr>
    </w:p>
    <w:p w14:paraId="5AE464E5" w14:textId="3A6AB675" w:rsidR="00B64956" w:rsidRDefault="003E2B82" w:rsidP="005A0156">
      <w:pPr>
        <w:pBdr>
          <w:top w:val="nil"/>
          <w:left w:val="nil"/>
          <w:bottom w:val="nil"/>
          <w:right w:val="nil"/>
          <w:between w:val="nil"/>
        </w:pBdr>
        <w:jc w:val="both"/>
        <w:rPr>
          <w:i/>
          <w:iCs/>
        </w:rPr>
      </w:pPr>
      <w:r>
        <w:rPr>
          <w:i/>
          <w:iCs/>
        </w:rPr>
        <w:t xml:space="preserve">Table 2: </w:t>
      </w:r>
      <w:proofErr w:type="spellStart"/>
      <w:r>
        <w:rPr>
          <w:i/>
          <w:iCs/>
        </w:rPr>
        <w:t>XGBoost</w:t>
      </w:r>
      <w:proofErr w:type="spellEnd"/>
      <w:r>
        <w:rPr>
          <w:i/>
          <w:iCs/>
        </w:rPr>
        <w:t xml:space="preserve"> Model Performance Metrics on 2010 Validation Set.</w:t>
      </w:r>
    </w:p>
    <w:p w14:paraId="06FF8939" w14:textId="77777777" w:rsidR="00B64956" w:rsidRDefault="003E2B82" w:rsidP="005A0156">
      <w:pPr>
        <w:pBdr>
          <w:top w:val="nil"/>
          <w:left w:val="nil"/>
          <w:bottom w:val="nil"/>
          <w:right w:val="nil"/>
          <w:between w:val="nil"/>
        </w:pBdr>
        <w:spacing w:after="225"/>
        <w:jc w:val="both"/>
      </w:pPr>
      <w:r>
        <w:rPr>
          <w:b/>
          <w:bCs/>
        </w:rPr>
        <w:t>Analysis:</w:t>
      </w:r>
      <w:r>
        <w:t xml:space="preserve"> The Recall of 0.74 is the critical metric. In a population health context, "missing" a high-risk patient (False Negative) is more costly than intervening on a stable patient (False Positive). Therefore, the probability threshold was tuned to maximize Recall while maintaining acceptable Precision.</w:t>
      </w:r>
    </w:p>
    <w:p w14:paraId="144015FE" w14:textId="77777777" w:rsidR="00B64956" w:rsidRDefault="003E2B82" w:rsidP="005A0156">
      <w:pPr>
        <w:pStyle w:val="Heading2"/>
        <w:spacing w:before="0"/>
        <w:jc w:val="both"/>
      </w:pPr>
      <w:r>
        <w:t xml:space="preserve">5. Solution Design: </w:t>
      </w:r>
      <w:proofErr w:type="spellStart"/>
      <w:r>
        <w:t>MediGuard</w:t>
      </w:r>
      <w:proofErr w:type="spellEnd"/>
      <w:r>
        <w:t xml:space="preserve"> AI Dashboard</w:t>
      </w:r>
    </w:p>
    <w:p w14:paraId="79987348" w14:textId="77777777" w:rsidR="00B64956" w:rsidRDefault="003E2B82" w:rsidP="005A0156">
      <w:pPr>
        <w:pBdr>
          <w:top w:val="nil"/>
          <w:left w:val="nil"/>
          <w:bottom w:val="nil"/>
          <w:right w:val="nil"/>
          <w:between w:val="nil"/>
        </w:pBdr>
        <w:spacing w:after="240"/>
        <w:jc w:val="both"/>
      </w:pPr>
      <w:r>
        <w:t xml:space="preserve">The predictive model is the engine, but the </w:t>
      </w:r>
      <w:proofErr w:type="spellStart"/>
      <w:r>
        <w:rPr>
          <w:b/>
          <w:bCs/>
        </w:rPr>
        <w:t>MediGuard</w:t>
      </w:r>
      <w:proofErr w:type="spellEnd"/>
      <w:r>
        <w:rPr>
          <w:b/>
          <w:bCs/>
        </w:rPr>
        <w:t xml:space="preserve"> AI Dashboard</w:t>
      </w:r>
      <w:r>
        <w:t xml:space="preserve"> is the steering wheel. To be effective, analytics must be integrated into the clinical workflow. The dashboard is designed for </w:t>
      </w:r>
      <w:r>
        <w:rPr>
          <w:b/>
          <w:bCs/>
        </w:rPr>
        <w:t>Care Managers</w:t>
      </w:r>
      <w:r>
        <w:t>—nurses or social workers responsible for a panel of high-risk patients.</w:t>
      </w:r>
    </w:p>
    <w:p w14:paraId="688B9255" w14:textId="77777777" w:rsidR="00B64956" w:rsidRDefault="003E2B82" w:rsidP="005A0156">
      <w:pPr>
        <w:pStyle w:val="Heading3"/>
        <w:spacing w:before="0"/>
        <w:jc w:val="both"/>
      </w:pPr>
      <w:r>
        <w:t>5.1 Dashboard Architecture and User Flow</w:t>
      </w:r>
    </w:p>
    <w:p w14:paraId="4D79A669" w14:textId="77777777" w:rsidR="00B64956" w:rsidRDefault="003E2B82" w:rsidP="005A0156">
      <w:pPr>
        <w:pBdr>
          <w:top w:val="nil"/>
          <w:left w:val="nil"/>
          <w:bottom w:val="nil"/>
          <w:right w:val="nil"/>
          <w:between w:val="nil"/>
        </w:pBdr>
        <w:spacing w:after="255"/>
        <w:jc w:val="both"/>
      </w:pPr>
      <w:r>
        <w:t xml:space="preserve">The solution is conceptualized as a web-based application (built using </w:t>
      </w:r>
      <w:proofErr w:type="spellStart"/>
      <w:r>
        <w:t>React or</w:t>
      </w:r>
      <w:proofErr w:type="spellEnd"/>
      <w:r>
        <w:t xml:space="preserve"> </w:t>
      </w:r>
      <w:proofErr w:type="spellStart"/>
      <w:r>
        <w:t>Streamlit</w:t>
      </w:r>
      <w:proofErr w:type="spellEnd"/>
      <w:r>
        <w:t>) that sits on top of the data warehouse.</w:t>
      </w:r>
    </w:p>
    <w:p w14:paraId="4EF1FAB0" w14:textId="77777777" w:rsidR="00B64956" w:rsidRDefault="003E2B82" w:rsidP="005A0156">
      <w:pPr>
        <w:pStyle w:val="Heading4"/>
        <w:spacing w:before="0"/>
        <w:jc w:val="both"/>
      </w:pPr>
      <w:r>
        <w:t>5.1.1 The "Triage" View (Executive Dashboard)</w:t>
      </w:r>
    </w:p>
    <w:p w14:paraId="342B0509" w14:textId="77777777" w:rsidR="00B64956" w:rsidRDefault="003E2B82" w:rsidP="005A0156">
      <w:pPr>
        <w:pBdr>
          <w:top w:val="nil"/>
          <w:left w:val="nil"/>
          <w:bottom w:val="nil"/>
          <w:right w:val="nil"/>
          <w:between w:val="nil"/>
        </w:pBdr>
        <w:jc w:val="both"/>
      </w:pPr>
      <w:r>
        <w:t xml:space="preserve">This is the landing page for the Care Manager. It moves away from static reporting to </w:t>
      </w:r>
      <w:r>
        <w:rPr>
          <w:i/>
          <w:iCs/>
        </w:rPr>
        <w:t>prioritized action lists</w:t>
      </w:r>
      <w:r>
        <w:t>.</w:t>
      </w:r>
    </w:p>
    <w:p w14:paraId="716CEE9A" w14:textId="77777777" w:rsidR="00B64956" w:rsidRDefault="003E2B82" w:rsidP="005A0156">
      <w:pPr>
        <w:numPr>
          <w:ilvl w:val="0"/>
          <w:numId w:val="7"/>
        </w:numPr>
        <w:pBdr>
          <w:top w:val="nil"/>
          <w:left w:val="nil"/>
          <w:bottom w:val="nil"/>
          <w:right w:val="nil"/>
          <w:between w:val="nil"/>
        </w:pBdr>
        <w:jc w:val="both"/>
      </w:pPr>
      <w:r>
        <w:rPr>
          <w:b/>
          <w:bCs/>
        </w:rPr>
        <w:t>Visual:</w:t>
      </w:r>
      <w:r>
        <w:t xml:space="preserve"> A "Traffic Light" system. Patients are sorted by Risk Score (0-100).</w:t>
      </w:r>
    </w:p>
    <w:p w14:paraId="7B0A7CF5" w14:textId="77777777" w:rsidR="00B64956" w:rsidRDefault="003E2B82" w:rsidP="005A0156">
      <w:pPr>
        <w:numPr>
          <w:ilvl w:val="1"/>
          <w:numId w:val="8"/>
        </w:numPr>
        <w:pBdr>
          <w:top w:val="nil"/>
          <w:left w:val="nil"/>
          <w:bottom w:val="nil"/>
          <w:right w:val="nil"/>
          <w:between w:val="nil"/>
        </w:pBdr>
        <w:jc w:val="both"/>
      </w:pPr>
      <w:r>
        <w:rPr>
          <w:b/>
          <w:bCs/>
        </w:rPr>
        <w:t>Red (Score &gt; 80):</w:t>
      </w:r>
      <w:r>
        <w:t xml:space="preserve"> "Imminent Risk." Action: Call immediately.</w:t>
      </w:r>
    </w:p>
    <w:p w14:paraId="5C68BC50" w14:textId="77777777" w:rsidR="00B64956" w:rsidRDefault="003E2B82" w:rsidP="005A0156">
      <w:pPr>
        <w:numPr>
          <w:ilvl w:val="1"/>
          <w:numId w:val="8"/>
        </w:numPr>
        <w:pBdr>
          <w:top w:val="nil"/>
          <w:left w:val="nil"/>
          <w:bottom w:val="nil"/>
          <w:right w:val="nil"/>
          <w:between w:val="nil"/>
        </w:pBdr>
        <w:jc w:val="both"/>
      </w:pPr>
      <w:r>
        <w:rPr>
          <w:b/>
          <w:bCs/>
        </w:rPr>
        <w:t>Yellow (Score 50-80):</w:t>
      </w:r>
      <w:r>
        <w:t xml:space="preserve"> "Rising Risk." Action: Schedule PCP visit within 14 days.</w:t>
      </w:r>
    </w:p>
    <w:p w14:paraId="390D25E6" w14:textId="77777777" w:rsidR="00B64956" w:rsidRDefault="003E2B82" w:rsidP="005A0156">
      <w:pPr>
        <w:numPr>
          <w:ilvl w:val="1"/>
          <w:numId w:val="8"/>
        </w:numPr>
        <w:pBdr>
          <w:top w:val="nil"/>
          <w:left w:val="nil"/>
          <w:bottom w:val="nil"/>
          <w:right w:val="nil"/>
          <w:between w:val="nil"/>
        </w:pBdr>
        <w:jc w:val="both"/>
      </w:pPr>
      <w:r>
        <w:rPr>
          <w:b/>
          <w:bCs/>
        </w:rPr>
        <w:t>Green (Score &lt; 50):</w:t>
      </w:r>
      <w:r>
        <w:t xml:space="preserve"> "Stable." Action: Standard monitoring.</w:t>
      </w:r>
    </w:p>
    <w:p w14:paraId="4873C46B" w14:textId="77777777" w:rsidR="00B64956" w:rsidRDefault="003E2B82" w:rsidP="005A0156">
      <w:pPr>
        <w:numPr>
          <w:ilvl w:val="0"/>
          <w:numId w:val="7"/>
        </w:numPr>
        <w:pBdr>
          <w:top w:val="nil"/>
          <w:left w:val="nil"/>
          <w:bottom w:val="nil"/>
          <w:right w:val="nil"/>
          <w:between w:val="nil"/>
        </w:pBdr>
        <w:jc w:val="both"/>
      </w:pPr>
      <w:r>
        <w:rPr>
          <w:b/>
          <w:bCs/>
        </w:rPr>
        <w:t>Metric:</w:t>
      </w:r>
      <w:r>
        <w:t xml:space="preserve"> "Projected Savings." A dynamic counter showing the potential cost avoidance if the day's high-risk list is successfully managed.</w:t>
      </w:r>
    </w:p>
    <w:p w14:paraId="5C39ECD9" w14:textId="77777777" w:rsidR="005A0156" w:rsidRDefault="005A0156" w:rsidP="005A0156">
      <w:pPr>
        <w:pStyle w:val="Heading4"/>
        <w:jc w:val="both"/>
      </w:pPr>
    </w:p>
    <w:p w14:paraId="1C430AE0" w14:textId="692F721F" w:rsidR="00B64956" w:rsidRDefault="003E2B82" w:rsidP="005A0156">
      <w:pPr>
        <w:pStyle w:val="Heading4"/>
        <w:jc w:val="both"/>
      </w:pPr>
      <w:r>
        <w:lastRenderedPageBreak/>
        <w:t>5.1.2 The "Patient 360" View</w:t>
      </w:r>
    </w:p>
    <w:p w14:paraId="5304EA39" w14:textId="77777777" w:rsidR="00B64956" w:rsidRDefault="003E2B82" w:rsidP="005A0156">
      <w:pPr>
        <w:pBdr>
          <w:top w:val="nil"/>
          <w:left w:val="nil"/>
          <w:bottom w:val="nil"/>
          <w:right w:val="nil"/>
          <w:between w:val="nil"/>
        </w:pBdr>
        <w:jc w:val="both"/>
      </w:pPr>
      <w:r>
        <w:t>Clicking on a patient reveals the granular details explaining the risk score.</w:t>
      </w:r>
    </w:p>
    <w:p w14:paraId="7E9A650B" w14:textId="77777777" w:rsidR="00B64956" w:rsidRDefault="003E2B82" w:rsidP="005A0156">
      <w:pPr>
        <w:numPr>
          <w:ilvl w:val="0"/>
          <w:numId w:val="9"/>
        </w:numPr>
        <w:pBdr>
          <w:top w:val="nil"/>
          <w:left w:val="nil"/>
          <w:bottom w:val="nil"/>
          <w:right w:val="nil"/>
          <w:between w:val="nil"/>
        </w:pBdr>
        <w:jc w:val="both"/>
      </w:pPr>
      <w:r>
        <w:rPr>
          <w:b/>
          <w:bCs/>
        </w:rPr>
        <w:t>Clinical Narrative:</w:t>
      </w:r>
      <w:r>
        <w:t xml:space="preserve"> Instead of raw codes, the dashboard uses Natural Language Generation (NLG) to create a summary: </w:t>
      </w:r>
      <w:r>
        <w:rPr>
          <w:i/>
          <w:iCs/>
        </w:rPr>
        <w:t>"Patient X is a 78-year-old male with CHF and Diabetes. He has visited the ED twice in the last 6 months and has not refilled his Metoprolol in 45 days. Risk factors include polypharmacy and recent loss of spouse."</w:t>
      </w:r>
      <w:r>
        <w:t>.</w:t>
      </w:r>
    </w:p>
    <w:p w14:paraId="04235D1F" w14:textId="77777777" w:rsidR="00B64956" w:rsidRDefault="003E2B82" w:rsidP="005A0156">
      <w:pPr>
        <w:numPr>
          <w:ilvl w:val="0"/>
          <w:numId w:val="9"/>
        </w:numPr>
        <w:pBdr>
          <w:top w:val="nil"/>
          <w:left w:val="nil"/>
          <w:bottom w:val="nil"/>
          <w:right w:val="nil"/>
          <w:between w:val="nil"/>
        </w:pBdr>
        <w:jc w:val="both"/>
      </w:pPr>
      <w:r>
        <w:rPr>
          <w:b/>
          <w:bCs/>
        </w:rPr>
        <w:t>Trajectory Visualization:</w:t>
      </w:r>
      <w:r>
        <w:t xml:space="preserve"> A line chart showing the patient's HCC risk score over the last 24 months, highlighting the acceleration in risk.</w:t>
      </w:r>
    </w:p>
    <w:p w14:paraId="5BB82722" w14:textId="77777777" w:rsidR="00B64956" w:rsidRDefault="003E2B82" w:rsidP="005A0156">
      <w:pPr>
        <w:numPr>
          <w:ilvl w:val="0"/>
          <w:numId w:val="9"/>
        </w:numPr>
        <w:pBdr>
          <w:top w:val="nil"/>
          <w:left w:val="nil"/>
          <w:bottom w:val="nil"/>
          <w:right w:val="nil"/>
          <w:between w:val="nil"/>
        </w:pBdr>
        <w:jc w:val="both"/>
      </w:pPr>
      <w:r>
        <w:rPr>
          <w:b/>
          <w:bCs/>
        </w:rPr>
        <w:t>Care Gaps:</w:t>
      </w:r>
      <w:r>
        <w:t xml:space="preserve"> Explicit flags for missing preventative care (e.g., "Missing HbA1c check," "No Flu Shot").</w:t>
      </w:r>
    </w:p>
    <w:p w14:paraId="42C21805" w14:textId="77777777" w:rsidR="00B64956" w:rsidRDefault="003E2B82" w:rsidP="005A0156">
      <w:pPr>
        <w:pStyle w:val="Heading3"/>
        <w:jc w:val="both"/>
      </w:pPr>
      <w:r>
        <w:t>5.2 Technical Integration with EHR</w:t>
      </w:r>
    </w:p>
    <w:p w14:paraId="2B205B66" w14:textId="77777777" w:rsidR="00B64956" w:rsidRDefault="003E2B82" w:rsidP="005A0156">
      <w:pPr>
        <w:pBdr>
          <w:top w:val="nil"/>
          <w:left w:val="nil"/>
          <w:bottom w:val="nil"/>
          <w:right w:val="nil"/>
          <w:between w:val="nil"/>
        </w:pBdr>
        <w:spacing w:after="225"/>
        <w:jc w:val="both"/>
      </w:pPr>
      <w:r>
        <w:t xml:space="preserve">To avoid "screen fatigue," </w:t>
      </w:r>
      <w:proofErr w:type="spellStart"/>
      <w:r>
        <w:t>MediGuard</w:t>
      </w:r>
      <w:proofErr w:type="spellEnd"/>
      <w:r>
        <w:t xml:space="preserve"> AI is designed to integrate with major EHRs (Epic, Cerner) via </w:t>
      </w:r>
      <w:r>
        <w:rPr>
          <w:b/>
          <w:bCs/>
        </w:rPr>
        <w:t>SMART on FHIR</w:t>
      </w:r>
      <w:r>
        <w:t xml:space="preserve"> protocols. This allows the risk score and recommended actions to appear directly within the patient's chart during a clinical encounter, ensuring the physician sees the same risk signals as the care manager.</w:t>
      </w:r>
    </w:p>
    <w:p w14:paraId="135F1AE5" w14:textId="77777777" w:rsidR="00B64956" w:rsidRDefault="003E2B82" w:rsidP="005A0156">
      <w:pPr>
        <w:pStyle w:val="Heading2"/>
        <w:spacing w:before="0"/>
        <w:jc w:val="both"/>
      </w:pPr>
      <w:r>
        <w:t>6. Business Case and Return on Investment (ROI)</w:t>
      </w:r>
    </w:p>
    <w:p w14:paraId="42977791" w14:textId="77777777" w:rsidR="00B64956" w:rsidRDefault="003E2B82" w:rsidP="005A0156">
      <w:pPr>
        <w:pBdr>
          <w:top w:val="nil"/>
          <w:left w:val="nil"/>
          <w:bottom w:val="nil"/>
          <w:right w:val="nil"/>
          <w:between w:val="nil"/>
        </w:pBdr>
        <w:spacing w:after="240"/>
        <w:jc w:val="both"/>
      </w:pPr>
      <w:r>
        <w:t xml:space="preserve">For healthcare organizations, the adoption of </w:t>
      </w:r>
      <w:proofErr w:type="spellStart"/>
      <w:r>
        <w:t>MediGuard</w:t>
      </w:r>
      <w:proofErr w:type="spellEnd"/>
      <w:r>
        <w:t xml:space="preserve"> AI is not just a clinical quality initiative; it is a financial strategy. The ROI is calculated based on the "Shared Savings" model common in Medicare ACOs.</w:t>
      </w:r>
    </w:p>
    <w:p w14:paraId="47D2CE3E" w14:textId="77777777" w:rsidR="00B64956" w:rsidRDefault="003E2B82" w:rsidP="005A0156">
      <w:pPr>
        <w:pStyle w:val="Heading3"/>
        <w:spacing w:before="0"/>
        <w:jc w:val="both"/>
      </w:pPr>
      <w:r>
        <w:t>6.1 Cost Assumptions</w:t>
      </w:r>
    </w:p>
    <w:p w14:paraId="7D3EEED2" w14:textId="77777777" w:rsidR="00B64956" w:rsidRDefault="003E2B82" w:rsidP="005A0156">
      <w:pPr>
        <w:numPr>
          <w:ilvl w:val="0"/>
          <w:numId w:val="10"/>
        </w:numPr>
        <w:pBdr>
          <w:top w:val="nil"/>
          <w:left w:val="nil"/>
          <w:bottom w:val="nil"/>
          <w:right w:val="nil"/>
          <w:between w:val="nil"/>
        </w:pBdr>
        <w:jc w:val="both"/>
      </w:pPr>
      <w:r>
        <w:rPr>
          <w:b/>
          <w:bCs/>
        </w:rPr>
        <w:t>Population Size:</w:t>
      </w:r>
      <w:r>
        <w:t xml:space="preserve"> A typical ACO manages ~20,000 Medicare beneficiaries.</w:t>
      </w:r>
    </w:p>
    <w:p w14:paraId="725CE75F" w14:textId="77777777" w:rsidR="00B64956" w:rsidRDefault="003E2B82" w:rsidP="005A0156">
      <w:pPr>
        <w:numPr>
          <w:ilvl w:val="0"/>
          <w:numId w:val="10"/>
        </w:numPr>
        <w:pBdr>
          <w:top w:val="nil"/>
          <w:left w:val="nil"/>
          <w:bottom w:val="nil"/>
          <w:right w:val="nil"/>
          <w:between w:val="nil"/>
        </w:pBdr>
        <w:jc w:val="both"/>
      </w:pPr>
      <w:r>
        <w:rPr>
          <w:b/>
          <w:bCs/>
        </w:rPr>
        <w:t>High-Risk Cohort:</w:t>
      </w:r>
      <w:r>
        <w:t xml:space="preserve"> Based on the Power Law, ~5% (1,000 patients) are high-risk.</w:t>
      </w:r>
    </w:p>
    <w:p w14:paraId="712515BB" w14:textId="77777777" w:rsidR="00B64956" w:rsidRDefault="003E2B82" w:rsidP="005A0156">
      <w:pPr>
        <w:numPr>
          <w:ilvl w:val="0"/>
          <w:numId w:val="10"/>
        </w:numPr>
        <w:pBdr>
          <w:top w:val="nil"/>
          <w:left w:val="nil"/>
          <w:bottom w:val="nil"/>
          <w:right w:val="nil"/>
          <w:between w:val="nil"/>
        </w:pBdr>
        <w:jc w:val="both"/>
      </w:pPr>
      <w:r>
        <w:rPr>
          <w:b/>
          <w:bCs/>
        </w:rPr>
        <w:t>Event Rate:</w:t>
      </w:r>
      <w:r>
        <w:t xml:space="preserve"> These patients have an annualized ACU rate of ~1.5 events per patient.</w:t>
      </w:r>
    </w:p>
    <w:p w14:paraId="36BF8844" w14:textId="77777777" w:rsidR="00B64956" w:rsidRDefault="003E2B82" w:rsidP="005A0156">
      <w:pPr>
        <w:numPr>
          <w:ilvl w:val="0"/>
          <w:numId w:val="10"/>
        </w:numPr>
        <w:pBdr>
          <w:top w:val="nil"/>
          <w:left w:val="nil"/>
          <w:bottom w:val="nil"/>
          <w:right w:val="nil"/>
          <w:between w:val="nil"/>
        </w:pBdr>
        <w:jc w:val="both"/>
      </w:pPr>
      <w:r>
        <w:rPr>
          <w:b/>
          <w:bCs/>
        </w:rPr>
        <w:t>Cost per Event:</w:t>
      </w:r>
      <w:r>
        <w:t xml:space="preserve"> The weighted average cost of a readmission/ED visit sequence is </w:t>
      </w:r>
      <w:r>
        <w:rPr>
          <w:b/>
          <w:bCs/>
        </w:rPr>
        <w:t>$12,500</w:t>
      </w:r>
      <w:r>
        <w:t>.</w:t>
      </w:r>
    </w:p>
    <w:p w14:paraId="6CDB70BE" w14:textId="77777777" w:rsidR="00B64956" w:rsidRDefault="003E2B82" w:rsidP="005A0156">
      <w:pPr>
        <w:pStyle w:val="Heading3"/>
        <w:jc w:val="both"/>
      </w:pPr>
      <w:r>
        <w:t>6.2 Savings Projections</w:t>
      </w:r>
    </w:p>
    <w:p w14:paraId="39811346" w14:textId="77777777" w:rsidR="00B64956" w:rsidRDefault="003E2B82" w:rsidP="005A0156">
      <w:pPr>
        <w:pBdr>
          <w:top w:val="nil"/>
          <w:left w:val="nil"/>
          <w:bottom w:val="nil"/>
          <w:right w:val="nil"/>
          <w:between w:val="nil"/>
        </w:pBdr>
        <w:jc w:val="both"/>
      </w:pPr>
      <w:r>
        <w:t xml:space="preserve">If </w:t>
      </w:r>
      <w:proofErr w:type="spellStart"/>
      <w:r>
        <w:t>MediGuard</w:t>
      </w:r>
      <w:proofErr w:type="spellEnd"/>
      <w:r>
        <w:t xml:space="preserve"> AI identifies these patients and effective care management (e.g., medication reconciliation, home health dispatch) prevents </w:t>
      </w:r>
      <w:r>
        <w:rPr>
          <w:b/>
          <w:bCs/>
        </w:rPr>
        <w:t>20%</w:t>
      </w:r>
      <w:r>
        <w:t xml:space="preserve"> of these predicted events (a conservative estimate compared to the 35% preventability cited in literature):</w:t>
      </w:r>
    </w:p>
    <w:p w14:paraId="27CD2DC9" w14:textId="77777777" w:rsidR="00B64956" w:rsidRDefault="003E2B82" w:rsidP="005A0156">
      <w:pPr>
        <w:numPr>
          <w:ilvl w:val="0"/>
          <w:numId w:val="11"/>
        </w:numPr>
        <w:pBdr>
          <w:top w:val="nil"/>
          <w:left w:val="nil"/>
          <w:bottom w:val="nil"/>
          <w:right w:val="nil"/>
          <w:between w:val="nil"/>
        </w:pBdr>
        <w:jc w:val="both"/>
      </w:pPr>
      <w:r>
        <w:rPr>
          <w:b/>
          <w:bCs/>
        </w:rPr>
        <w:t>Events Avoided:</w:t>
      </w:r>
      <w:r>
        <w:t xml:space="preserve"> 1,000 patients * 1.5 events * 20% reduction = </w:t>
      </w:r>
      <w:r>
        <w:rPr>
          <w:b/>
          <w:bCs/>
        </w:rPr>
        <w:t>300 events avoided per year</w:t>
      </w:r>
      <w:r>
        <w:t>.</w:t>
      </w:r>
    </w:p>
    <w:p w14:paraId="05624B32" w14:textId="77777777" w:rsidR="00B64956" w:rsidRDefault="003E2B82" w:rsidP="005A0156">
      <w:pPr>
        <w:numPr>
          <w:ilvl w:val="0"/>
          <w:numId w:val="11"/>
        </w:numPr>
        <w:pBdr>
          <w:top w:val="nil"/>
          <w:left w:val="nil"/>
          <w:bottom w:val="nil"/>
          <w:right w:val="nil"/>
          <w:between w:val="nil"/>
        </w:pBdr>
        <w:jc w:val="both"/>
      </w:pPr>
      <w:r>
        <w:rPr>
          <w:b/>
          <w:bCs/>
        </w:rPr>
        <w:t>Gross Savings:</w:t>
      </w:r>
      <w:r>
        <w:t xml:space="preserve"> 300 events * $12,500 = </w:t>
      </w:r>
      <w:r>
        <w:rPr>
          <w:b/>
          <w:bCs/>
        </w:rPr>
        <w:t>$3.75 Million per year</w:t>
      </w:r>
      <w:r>
        <w:t>.</w:t>
      </w:r>
    </w:p>
    <w:p w14:paraId="26EB621B" w14:textId="77777777" w:rsidR="00B64956" w:rsidRDefault="003E2B82" w:rsidP="005A0156">
      <w:pPr>
        <w:pStyle w:val="Heading3"/>
        <w:jc w:val="both"/>
      </w:pPr>
      <w:r>
        <w:t>6.3 Implementation Costs and Net ROI</w:t>
      </w:r>
    </w:p>
    <w:p w14:paraId="2F1F6E57" w14:textId="77777777" w:rsidR="00B64956" w:rsidRDefault="003E2B82" w:rsidP="005A0156">
      <w:pPr>
        <w:numPr>
          <w:ilvl w:val="0"/>
          <w:numId w:val="12"/>
        </w:numPr>
        <w:pBdr>
          <w:top w:val="nil"/>
          <w:left w:val="nil"/>
          <w:bottom w:val="nil"/>
          <w:right w:val="nil"/>
          <w:between w:val="nil"/>
        </w:pBdr>
        <w:jc w:val="both"/>
      </w:pPr>
      <w:r>
        <w:rPr>
          <w:b/>
          <w:bCs/>
        </w:rPr>
        <w:t>Tech Costs:</w:t>
      </w:r>
      <w:r>
        <w:t xml:space="preserve"> Cloud hosting, data integration, software license: ~$250,000/year.</w:t>
      </w:r>
    </w:p>
    <w:p w14:paraId="63D8D2D9" w14:textId="77777777" w:rsidR="00B64956" w:rsidRDefault="003E2B82" w:rsidP="005A0156">
      <w:pPr>
        <w:numPr>
          <w:ilvl w:val="0"/>
          <w:numId w:val="12"/>
        </w:numPr>
        <w:pBdr>
          <w:top w:val="nil"/>
          <w:left w:val="nil"/>
          <w:bottom w:val="nil"/>
          <w:right w:val="nil"/>
          <w:between w:val="nil"/>
        </w:pBdr>
        <w:jc w:val="both"/>
      </w:pPr>
      <w:r>
        <w:rPr>
          <w:b/>
          <w:bCs/>
        </w:rPr>
        <w:t>Personnel Costs:</w:t>
      </w:r>
      <w:r>
        <w:t xml:space="preserve"> 3 dedicated Care Managers (Salary + Benefits): ~$450,000/year.</w:t>
      </w:r>
    </w:p>
    <w:p w14:paraId="101DC778" w14:textId="77777777" w:rsidR="00B64956" w:rsidRDefault="003E2B82" w:rsidP="005A0156">
      <w:pPr>
        <w:numPr>
          <w:ilvl w:val="0"/>
          <w:numId w:val="12"/>
        </w:numPr>
        <w:pBdr>
          <w:top w:val="nil"/>
          <w:left w:val="nil"/>
          <w:bottom w:val="nil"/>
          <w:right w:val="nil"/>
          <w:between w:val="nil"/>
        </w:pBdr>
        <w:jc w:val="both"/>
      </w:pPr>
      <w:r>
        <w:rPr>
          <w:b/>
          <w:bCs/>
        </w:rPr>
        <w:t>Total Investment:</w:t>
      </w:r>
      <w:r>
        <w:t xml:space="preserve"> $700,000.</w:t>
      </w:r>
    </w:p>
    <w:p w14:paraId="617A0B00" w14:textId="77777777" w:rsidR="00B64956" w:rsidRDefault="003E2B82" w:rsidP="005A0156">
      <w:pPr>
        <w:pBdr>
          <w:top w:val="nil"/>
          <w:left w:val="nil"/>
          <w:bottom w:val="nil"/>
          <w:right w:val="nil"/>
          <w:between w:val="nil"/>
        </w:pBdr>
        <w:jc w:val="both"/>
        <w:rPr>
          <w:b/>
          <w:bCs/>
        </w:rPr>
      </w:pPr>
      <w:r>
        <w:rPr>
          <w:b/>
          <w:bCs/>
        </w:rPr>
        <w:t>Net ROI Calculation:</w:t>
      </w:r>
    </w:p>
    <w:p w14:paraId="2204F8FC" w14:textId="77777777" w:rsidR="00B64956" w:rsidRDefault="003E2B82" w:rsidP="005A0156">
      <w:pPr>
        <w:pBdr>
          <w:top w:val="nil"/>
          <w:left w:val="nil"/>
          <w:bottom w:val="nil"/>
          <w:right w:val="nil"/>
          <w:between w:val="nil"/>
        </w:pBdr>
        <w:spacing w:after="225"/>
        <w:jc w:val="both"/>
      </w:pPr>
      <w:r>
        <w:rPr>
          <w:b/>
          <w:bCs/>
        </w:rPr>
        <w:t>Strategic Value:</w:t>
      </w:r>
      <w:r>
        <w:t xml:space="preserve"> Beyond direct savings, this reduces the risk of HRRP penalties (which can reach 3% of </w:t>
      </w:r>
      <w:r>
        <w:rPr>
          <w:i/>
          <w:iCs/>
        </w:rPr>
        <w:t>total</w:t>
      </w:r>
      <w:r>
        <w:t xml:space="preserve"> Medicare revenue) and improves the ACO's Quality Score, leading to higher bonus payments.</w:t>
      </w:r>
    </w:p>
    <w:p w14:paraId="240F2387" w14:textId="77777777" w:rsidR="005A0156" w:rsidRDefault="005A0156" w:rsidP="005A0156">
      <w:pPr>
        <w:pStyle w:val="Heading2"/>
        <w:jc w:val="both"/>
      </w:pPr>
    </w:p>
    <w:p w14:paraId="13B33E02" w14:textId="73D2AB23" w:rsidR="00B64956" w:rsidRDefault="005A0156" w:rsidP="005A0156">
      <w:pPr>
        <w:pStyle w:val="Heading2"/>
        <w:jc w:val="both"/>
      </w:pPr>
      <w:r>
        <w:lastRenderedPageBreak/>
        <w:t>7</w:t>
      </w:r>
      <w:r w:rsidR="003E2B82">
        <w:t>. Conclusion</w:t>
      </w:r>
    </w:p>
    <w:p w14:paraId="5E5E91BD" w14:textId="77777777" w:rsidR="00B64956" w:rsidRDefault="003E2B82" w:rsidP="005A0156">
      <w:pPr>
        <w:pBdr>
          <w:top w:val="nil"/>
          <w:left w:val="nil"/>
          <w:bottom w:val="nil"/>
          <w:right w:val="nil"/>
          <w:between w:val="nil"/>
        </w:pBdr>
        <w:jc w:val="both"/>
      </w:pPr>
      <w:r>
        <w:t xml:space="preserve">The analysis of the CMS DE-SynPUF data conclusively demonstrates that the path to Medicare sustainability lies in predictive risk management. The "firefighting" model of healthcare, which relies on treating acute failures after they occur, is fiscally unsustainable and clinically suboptimal. By deploying robust machine learning models on existing administrative data, </w:t>
      </w:r>
      <w:proofErr w:type="spellStart"/>
      <w:r>
        <w:rPr>
          <w:b/>
          <w:bCs/>
        </w:rPr>
        <w:t>MediGuard</w:t>
      </w:r>
      <w:proofErr w:type="spellEnd"/>
      <w:r>
        <w:rPr>
          <w:b/>
          <w:bCs/>
        </w:rPr>
        <w:t xml:space="preserve"> AI</w:t>
      </w:r>
      <w:r>
        <w:t xml:space="preserve"> offers a scalable, high-impact solution.</w:t>
      </w:r>
    </w:p>
    <w:p w14:paraId="6D09F6A5" w14:textId="2E76F8F4" w:rsidR="00B64956" w:rsidRDefault="003E2B82" w:rsidP="005A0156">
      <w:pPr>
        <w:pBdr>
          <w:top w:val="nil"/>
          <w:left w:val="nil"/>
          <w:bottom w:val="nil"/>
          <w:right w:val="nil"/>
          <w:between w:val="nil"/>
        </w:pBdr>
        <w:spacing w:after="255"/>
        <w:jc w:val="both"/>
      </w:pPr>
      <w:r>
        <w:t xml:space="preserve">This report validates that historical utilization patterns, when enriched with comorbidity and pharmacy data, are highly predictive of future acute events. The proposed solution does not require exotic new data sources; rather, it unlocks the latent intelligence within the billing records that health systems already possess. The projected ROI—millions in savings per ACO—combined with the technical feasibility of the </w:t>
      </w:r>
      <w:proofErr w:type="spellStart"/>
      <w:r>
        <w:t>XGBoost</w:t>
      </w:r>
      <w:proofErr w:type="spellEnd"/>
      <w:r>
        <w:t xml:space="preserve"> architecture, positions this initiative as a transformative tool for the Value-Based Care era. The transition from volume to value requires new tools, and </w:t>
      </w:r>
      <w:proofErr w:type="spellStart"/>
      <w:r>
        <w:t>MediGuard</w:t>
      </w:r>
      <w:proofErr w:type="spellEnd"/>
      <w:r>
        <w:t xml:space="preserve"> AI provides the predictive lens necessary to navigate this complex landscape.</w:t>
      </w:r>
    </w:p>
    <w:p w14:paraId="324802DE" w14:textId="23E95E5B" w:rsidR="00B64956" w:rsidRDefault="00637953" w:rsidP="00637953">
      <w:pPr>
        <w:pStyle w:val="Heading2"/>
        <w:jc w:val="both"/>
      </w:pPr>
      <w:r>
        <w:t>8. REFERENCES</w:t>
      </w:r>
    </w:p>
    <w:p w14:paraId="7E61AB0C" w14:textId="4C196A9D" w:rsidR="00637953" w:rsidRDefault="003E2B82" w:rsidP="005A0156">
      <w:pPr>
        <w:pBdr>
          <w:top w:val="nil"/>
          <w:left w:val="nil"/>
          <w:bottom w:val="nil"/>
          <w:right w:val="nil"/>
          <w:between w:val="nil"/>
        </w:pBdr>
        <w:jc w:val="both"/>
      </w:pPr>
      <w:r>
        <w:t xml:space="preserve">1. Healthcare Cost Prediction for Heterogeneous Patient Profiles Using Deep Learning Models with Administrative Claims Data | Information Systems Research - </w:t>
      </w:r>
      <w:proofErr w:type="spellStart"/>
      <w:r>
        <w:t>PubsOnLine</w:t>
      </w:r>
      <w:proofErr w:type="spellEnd"/>
      <w:r>
        <w:t xml:space="preserve">, </w:t>
      </w:r>
      <w:hyperlink r:id="rId5" w:history="1">
        <w:r w:rsidR="00637953" w:rsidRPr="00EB0C20">
          <w:rPr>
            <w:rStyle w:val="Hyperlink"/>
          </w:rPr>
          <w:t>https://pubsonline.informs.org/doi/10.1287/isre.2021.0643</w:t>
        </w:r>
      </w:hyperlink>
    </w:p>
    <w:p w14:paraId="76BEBE56" w14:textId="7C559232" w:rsidR="00637953" w:rsidRDefault="003E2B82" w:rsidP="005A0156">
      <w:pPr>
        <w:pBdr>
          <w:top w:val="nil"/>
          <w:left w:val="nil"/>
          <w:bottom w:val="nil"/>
          <w:right w:val="nil"/>
          <w:between w:val="nil"/>
        </w:pBdr>
        <w:jc w:val="both"/>
      </w:pPr>
      <w:r>
        <w:t xml:space="preserve"> 2. Better Patient Outcomes, Greater Shared Savings in Value-based Care - </w:t>
      </w:r>
      <w:proofErr w:type="spellStart"/>
      <w:r>
        <w:t>CareJourney</w:t>
      </w:r>
      <w:proofErr w:type="spellEnd"/>
      <w:r>
        <w:t xml:space="preserve">, </w:t>
      </w:r>
      <w:hyperlink r:id="rId6" w:history="1">
        <w:r w:rsidR="00637953" w:rsidRPr="00EB0C20">
          <w:rPr>
            <w:rStyle w:val="Hyperlink"/>
          </w:rPr>
          <w:t>https://carejourney.com/better-patient-outcomes-greater-shared-savings-the-case-for-renewed-excitement-in-value-based-care/</w:t>
        </w:r>
      </w:hyperlink>
    </w:p>
    <w:p w14:paraId="37E69C8D" w14:textId="6BBE0BC3" w:rsidR="00637953" w:rsidRDefault="003E2B82" w:rsidP="005A0156">
      <w:pPr>
        <w:pBdr>
          <w:top w:val="nil"/>
          <w:left w:val="nil"/>
          <w:bottom w:val="nil"/>
          <w:right w:val="nil"/>
          <w:between w:val="nil"/>
        </w:pBdr>
        <w:jc w:val="both"/>
      </w:pPr>
      <w:r>
        <w:t xml:space="preserve"> 3. Safeguarding Medicare: Proactive care could unlock $500B in annual program savings, </w:t>
      </w:r>
      <w:hyperlink r:id="rId7" w:history="1">
        <w:r w:rsidR="00637953" w:rsidRPr="00EB0C20">
          <w:rPr>
            <w:rStyle w:val="Hyperlink"/>
          </w:rPr>
          <w:t>https://www.deloitte.com/us/en/insights/industry/health-care/proactive-care-medicare-savings.html</w:t>
        </w:r>
      </w:hyperlink>
    </w:p>
    <w:p w14:paraId="56651005" w14:textId="627E4265" w:rsidR="00637953" w:rsidRDefault="003E2B82" w:rsidP="005A0156">
      <w:pPr>
        <w:pBdr>
          <w:top w:val="nil"/>
          <w:left w:val="nil"/>
          <w:bottom w:val="nil"/>
          <w:right w:val="nil"/>
          <w:between w:val="nil"/>
        </w:pBdr>
        <w:jc w:val="both"/>
      </w:pPr>
      <w:r>
        <w:t xml:space="preserve"> 4. Cost-Benefit Analysis of Preventing Acute Care Use in Oncology ..., </w:t>
      </w:r>
      <w:hyperlink r:id="rId8" w:history="1">
        <w:r w:rsidR="00637953" w:rsidRPr="00EB0C20">
          <w:rPr>
            <w:rStyle w:val="Hyperlink"/>
          </w:rPr>
          <w:t>https://medinform.jmir.org/2025/1/e77891</w:t>
        </w:r>
      </w:hyperlink>
    </w:p>
    <w:p w14:paraId="65841198" w14:textId="69B50E5B" w:rsidR="00637953" w:rsidRDefault="003E2B82" w:rsidP="005A0156">
      <w:pPr>
        <w:pBdr>
          <w:top w:val="nil"/>
          <w:left w:val="nil"/>
          <w:bottom w:val="nil"/>
          <w:right w:val="nil"/>
          <w:between w:val="nil"/>
        </w:pBdr>
        <w:jc w:val="both"/>
      </w:pPr>
      <w:r>
        <w:t xml:space="preserve"> 5. CMS Launches Challenge to Fight Fraud - LeadingAge, </w:t>
      </w:r>
      <w:hyperlink r:id="rId9" w:history="1">
        <w:r w:rsidR="00637953" w:rsidRPr="00EB0C20">
          <w:rPr>
            <w:rStyle w:val="Hyperlink"/>
          </w:rPr>
          <w:t>https://leadingage.org/cms-launches-challenge-to-fight-fraud/</w:t>
        </w:r>
      </w:hyperlink>
    </w:p>
    <w:p w14:paraId="033D9EFC" w14:textId="6D657AEB" w:rsidR="00637953" w:rsidRDefault="003E2B82" w:rsidP="005A0156">
      <w:pPr>
        <w:pBdr>
          <w:top w:val="nil"/>
          <w:left w:val="nil"/>
          <w:bottom w:val="nil"/>
          <w:right w:val="nil"/>
          <w:between w:val="nil"/>
        </w:pBdr>
        <w:jc w:val="both"/>
      </w:pPr>
      <w:r>
        <w:t xml:space="preserve"> 6. Top 10 Healthcare Data Analysis PowerPoint Presentation Templates in 2026 - </w:t>
      </w:r>
      <w:proofErr w:type="spellStart"/>
      <w:r>
        <w:t>SlideTeam</w:t>
      </w:r>
      <w:proofErr w:type="spellEnd"/>
      <w:r>
        <w:t xml:space="preserve">, </w:t>
      </w:r>
      <w:hyperlink r:id="rId10" w:history="1">
        <w:r w:rsidR="00637953" w:rsidRPr="00EB0C20">
          <w:rPr>
            <w:rStyle w:val="Hyperlink"/>
          </w:rPr>
          <w:t>https://www.slideteam.net/top-10-healthcare-data-analysis-powerpoint-presentation-templates</w:t>
        </w:r>
      </w:hyperlink>
    </w:p>
    <w:p w14:paraId="778195BD" w14:textId="1D2ABC75" w:rsidR="00637953" w:rsidRDefault="003E2B82" w:rsidP="005A0156">
      <w:pPr>
        <w:pBdr>
          <w:top w:val="nil"/>
          <w:left w:val="nil"/>
          <w:bottom w:val="nil"/>
          <w:right w:val="nil"/>
          <w:between w:val="nil"/>
        </w:pBdr>
        <w:jc w:val="both"/>
      </w:pPr>
      <w:r>
        <w:t xml:space="preserve"> 7. CMS 2008-2010 Data Entrepreneurs' Synthetic Public Use File (DE-SynPUF), </w:t>
      </w:r>
      <w:hyperlink r:id="rId11" w:history="1">
        <w:r w:rsidR="00637953" w:rsidRPr="00EB0C20">
          <w:rPr>
            <w:rStyle w:val="Hyperlink"/>
          </w:rPr>
          <w:t>https://www.cms.gov/data-research/statistics-trends-and-reports/medicare-claims-synthetic-public-use-files/cms-2008-2010-data-entrepreneurs-synthetic-public-use-file-de-synpuf</w:t>
        </w:r>
      </w:hyperlink>
    </w:p>
    <w:p w14:paraId="29A575B8" w14:textId="18BA9162" w:rsidR="00637953" w:rsidRDefault="003E2B82" w:rsidP="005A0156">
      <w:pPr>
        <w:pBdr>
          <w:top w:val="nil"/>
          <w:left w:val="nil"/>
          <w:bottom w:val="nil"/>
          <w:right w:val="nil"/>
          <w:between w:val="nil"/>
        </w:pBdr>
        <w:jc w:val="both"/>
      </w:pPr>
      <w:r>
        <w:t xml:space="preserve"> 8. </w:t>
      </w:r>
      <w:proofErr w:type="spellStart"/>
      <w:r>
        <w:t>Centers</w:t>
      </w:r>
      <w:proofErr w:type="spellEnd"/>
      <w:r>
        <w:t xml:space="preserve"> for Medicare and Medicaid Services (CMS) Linkable 2008–2010 Medicare Data Entrepreneurs' Synthetic Public Use File (DE-SynPUF), </w:t>
      </w:r>
      <w:hyperlink r:id="rId12" w:history="1">
        <w:r w:rsidR="00637953" w:rsidRPr="00EB0C20">
          <w:rPr>
            <w:rStyle w:val="Hyperlink"/>
          </w:rPr>
          <w:t>https://www.cms.gov/files/document/de-10-codebook.pdf-0</w:t>
        </w:r>
      </w:hyperlink>
    </w:p>
    <w:p w14:paraId="5F3FD2C4" w14:textId="109ACEAF" w:rsidR="00637953" w:rsidRDefault="003E2B82" w:rsidP="005A0156">
      <w:pPr>
        <w:pBdr>
          <w:top w:val="nil"/>
          <w:left w:val="nil"/>
          <w:bottom w:val="nil"/>
          <w:right w:val="nil"/>
          <w:between w:val="nil"/>
        </w:pBdr>
        <w:jc w:val="both"/>
      </w:pPr>
      <w:r>
        <w:t xml:space="preserve"> 9. Medicare Data | UCSF Pepper </w:t>
      </w:r>
      <w:proofErr w:type="spellStart"/>
      <w:r>
        <w:t>Center</w:t>
      </w:r>
      <w:proofErr w:type="spellEnd"/>
      <w:r>
        <w:t xml:space="preserve">, </w:t>
      </w:r>
      <w:hyperlink r:id="rId13" w:history="1">
        <w:r w:rsidR="00637953" w:rsidRPr="00EB0C20">
          <w:rPr>
            <w:rStyle w:val="Hyperlink"/>
          </w:rPr>
          <w:t>https://peppercenter.ucsf.edu/medicare-data</w:t>
        </w:r>
      </w:hyperlink>
    </w:p>
    <w:p w14:paraId="434ACF2E" w14:textId="72308D96" w:rsidR="00637953" w:rsidRDefault="003E2B82" w:rsidP="005A0156">
      <w:pPr>
        <w:pBdr>
          <w:top w:val="nil"/>
          <w:left w:val="nil"/>
          <w:bottom w:val="nil"/>
          <w:right w:val="nil"/>
          <w:between w:val="nil"/>
        </w:pBdr>
        <w:jc w:val="both"/>
      </w:pPr>
      <w:r>
        <w:t xml:space="preserve"> 10. Linkable 2008–2010 Medicare Data Entrepreneurs' Synthetic Public Use File (DE-SynPUF) - CMS, </w:t>
      </w:r>
      <w:hyperlink r:id="rId14" w:history="1">
        <w:r w:rsidR="00637953" w:rsidRPr="00EB0C20">
          <w:rPr>
            <w:rStyle w:val="Hyperlink"/>
          </w:rPr>
          <w:t>https://www.cms.gov/Research-Statistics-Data-and-Systems/Downloadable-Public-Use-Files/SynPUFs/Downloads/SynPUF_DUG.pdf</w:t>
        </w:r>
      </w:hyperlink>
    </w:p>
    <w:p w14:paraId="6E336746" w14:textId="36F39BFD" w:rsidR="00637953" w:rsidRDefault="003E2B82" w:rsidP="005A0156">
      <w:pPr>
        <w:pBdr>
          <w:top w:val="nil"/>
          <w:left w:val="nil"/>
          <w:bottom w:val="nil"/>
          <w:right w:val="nil"/>
          <w:between w:val="nil"/>
        </w:pBdr>
        <w:jc w:val="both"/>
      </w:pPr>
      <w:r>
        <w:t xml:space="preserve"> 11. Part D Trend insights: 2024 trend analysis reveals sharp increase in specialty drug utilization among non-low income beneficiaries - Milliman, </w:t>
      </w:r>
      <w:hyperlink r:id="rId15" w:history="1">
        <w:r w:rsidR="00637953" w:rsidRPr="00EB0C20">
          <w:rPr>
            <w:rStyle w:val="Hyperlink"/>
          </w:rPr>
          <w:t>https://www.milliman.com/en/insight/part-d-trend-insights-analysis-specialty-drug-utilization</w:t>
        </w:r>
      </w:hyperlink>
    </w:p>
    <w:p w14:paraId="261B45A3" w14:textId="088BF3D5" w:rsidR="00637953" w:rsidRDefault="003E2B82" w:rsidP="005A0156">
      <w:pPr>
        <w:pBdr>
          <w:top w:val="nil"/>
          <w:left w:val="nil"/>
          <w:bottom w:val="nil"/>
          <w:right w:val="nil"/>
          <w:between w:val="nil"/>
        </w:pBdr>
        <w:jc w:val="both"/>
      </w:pPr>
      <w:r>
        <w:t xml:space="preserve"> 12. CMS 2008-2010 Data Entrepreneurs Synthetic PUF Download Page, </w:t>
      </w:r>
      <w:hyperlink r:id="rId16" w:history="1">
        <w:r w:rsidR="00637953" w:rsidRPr="00EB0C20">
          <w:rPr>
            <w:rStyle w:val="Hyperlink"/>
          </w:rPr>
          <w:t>https://www.cms.gov/data-research/statistics-trends-and-reports/medicare-claims-synthetic-public-use-files/cms-2008-2010-data-entrepreneurs-synthetic-public-use-file-de-synpuf/de10-sample-2</w:t>
        </w:r>
      </w:hyperlink>
    </w:p>
    <w:p w14:paraId="6E3CC9F2" w14:textId="69458848" w:rsidR="00637953" w:rsidRDefault="003E2B82" w:rsidP="005A0156">
      <w:pPr>
        <w:pBdr>
          <w:top w:val="nil"/>
          <w:left w:val="nil"/>
          <w:bottom w:val="nil"/>
          <w:right w:val="nil"/>
          <w:between w:val="nil"/>
        </w:pBdr>
        <w:jc w:val="both"/>
      </w:pPr>
      <w:r>
        <w:t xml:space="preserve"> 13. Decreases In Readmissions Credited To Medicare's Program To Reduce Hospital Readmissions Have Been Overstated | Health Affairs, </w:t>
      </w:r>
      <w:hyperlink r:id="rId17" w:history="1">
        <w:r w:rsidR="00637953" w:rsidRPr="00EB0C20">
          <w:rPr>
            <w:rStyle w:val="Hyperlink"/>
          </w:rPr>
          <w:t>https://www.healthaffairs.org/doi/abs/10.1377/hlthaff.2018.05178</w:t>
        </w:r>
      </w:hyperlink>
    </w:p>
    <w:p w14:paraId="6DBB1C1C" w14:textId="03146087" w:rsidR="00637953" w:rsidRDefault="003E2B82" w:rsidP="005A0156">
      <w:pPr>
        <w:pBdr>
          <w:top w:val="nil"/>
          <w:left w:val="nil"/>
          <w:bottom w:val="nil"/>
          <w:right w:val="nil"/>
          <w:between w:val="nil"/>
        </w:pBdr>
        <w:jc w:val="both"/>
      </w:pPr>
      <w:r>
        <w:t xml:space="preserve"> 14. Mitigating the impact of high-cost claimants with Employer Group Insights, </w:t>
      </w:r>
      <w:hyperlink r:id="rId18" w:history="1">
        <w:r w:rsidR="00637953" w:rsidRPr="00EB0C20">
          <w:rPr>
            <w:rStyle w:val="Hyperlink"/>
          </w:rPr>
          <w:t>https://medinsight.com/healthcare-data-analytics-resources/blog/mitigating-the-impact-of-high-cost-claimants-with-employer-group-insights/</w:t>
        </w:r>
      </w:hyperlink>
    </w:p>
    <w:p w14:paraId="0FA2B9EC" w14:textId="563B8C38" w:rsidR="00B64956" w:rsidRDefault="00EC7D45" w:rsidP="005A0156">
      <w:pPr>
        <w:pBdr>
          <w:top w:val="nil"/>
          <w:left w:val="nil"/>
          <w:bottom w:val="nil"/>
          <w:right w:val="nil"/>
          <w:between w:val="nil"/>
        </w:pBdr>
        <w:jc w:val="both"/>
      </w:pPr>
      <w:r>
        <w:t>15. Used use.ai for the code generation</w:t>
      </w:r>
    </w:p>
    <w:sectPr w:rsidR="00B64956" w:rsidSect="005A0156">
      <w:pgSz w:w="12240" w:h="15840"/>
      <w:pgMar w:top="1440" w:right="474" w:bottom="1440" w:left="99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71F3E56-57DD-4AF7-9486-F33AAF087CBE}"/>
  </w:font>
  <w:font w:name="Calibri">
    <w:panose1 w:val="020F0502020204030204"/>
    <w:charset w:val="00"/>
    <w:family w:val="swiss"/>
    <w:pitch w:val="variable"/>
    <w:sig w:usb0="E4002EFF" w:usb1="C200247B" w:usb2="00000009" w:usb3="00000000" w:csb0="000001FF" w:csb1="00000000"/>
    <w:embedRegular r:id="rId2" w:fontKey="{0F378250-FE74-4A9C-86E9-62593BDDD47F}"/>
  </w:font>
  <w:font w:name="Cambria">
    <w:panose1 w:val="02040503050406030204"/>
    <w:charset w:val="00"/>
    <w:family w:val="roman"/>
    <w:pitch w:val="variable"/>
    <w:sig w:usb0="E00006FF" w:usb1="420024FF" w:usb2="02000000" w:usb3="00000000" w:csb0="0000019F" w:csb1="00000000"/>
    <w:embedRegular r:id="rId3" w:fontKey="{4ECEB7A7-D7A5-4A70-A124-C8989E0968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24574"/>
    <w:multiLevelType w:val="multilevel"/>
    <w:tmpl w:val="5A5A9A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2B36DA"/>
    <w:multiLevelType w:val="multilevel"/>
    <w:tmpl w:val="1CBE0B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63B0AC7"/>
    <w:multiLevelType w:val="multilevel"/>
    <w:tmpl w:val="4A04FB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B9F4CD5"/>
    <w:multiLevelType w:val="multilevel"/>
    <w:tmpl w:val="84089F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BDB60F3"/>
    <w:multiLevelType w:val="multilevel"/>
    <w:tmpl w:val="0C6842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1323BF3"/>
    <w:multiLevelType w:val="multilevel"/>
    <w:tmpl w:val="1C44B9B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3D4792"/>
    <w:multiLevelType w:val="multilevel"/>
    <w:tmpl w:val="F498F6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29F5FF7"/>
    <w:multiLevelType w:val="multilevel"/>
    <w:tmpl w:val="89FE35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4AC1933"/>
    <w:multiLevelType w:val="multilevel"/>
    <w:tmpl w:val="F3BAB5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D7757CE"/>
    <w:multiLevelType w:val="multilevel"/>
    <w:tmpl w:val="702E23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027101B"/>
    <w:multiLevelType w:val="multilevel"/>
    <w:tmpl w:val="1BFAAE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5D444A2"/>
    <w:multiLevelType w:val="multilevel"/>
    <w:tmpl w:val="9D0AEE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7D8165F"/>
    <w:multiLevelType w:val="multilevel"/>
    <w:tmpl w:val="CAEA16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9D5707F"/>
    <w:multiLevelType w:val="multilevel"/>
    <w:tmpl w:val="137823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0A52C5D"/>
    <w:multiLevelType w:val="multilevel"/>
    <w:tmpl w:val="5DA643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1E76DB5"/>
    <w:multiLevelType w:val="multilevel"/>
    <w:tmpl w:val="01823B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79F6C41"/>
    <w:multiLevelType w:val="multilevel"/>
    <w:tmpl w:val="A6B4E8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C9C32B4"/>
    <w:multiLevelType w:val="multilevel"/>
    <w:tmpl w:val="A58C64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9A54726"/>
    <w:multiLevelType w:val="multilevel"/>
    <w:tmpl w:val="7D44F9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C027BAB"/>
    <w:multiLevelType w:val="multilevel"/>
    <w:tmpl w:val="389051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3433DB9"/>
    <w:multiLevelType w:val="multilevel"/>
    <w:tmpl w:val="38BC00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42E177A"/>
    <w:multiLevelType w:val="multilevel"/>
    <w:tmpl w:val="8CB8D4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7654ADE"/>
    <w:multiLevelType w:val="multilevel"/>
    <w:tmpl w:val="F10610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4C6201D"/>
    <w:multiLevelType w:val="multilevel"/>
    <w:tmpl w:val="6C14C3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5ED48B4"/>
    <w:multiLevelType w:val="multilevel"/>
    <w:tmpl w:val="D3E82A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F73465C"/>
    <w:multiLevelType w:val="multilevel"/>
    <w:tmpl w:val="E90AC4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11"/>
  </w:num>
  <w:num w:numId="3">
    <w:abstractNumId w:val="12"/>
  </w:num>
  <w:num w:numId="4">
    <w:abstractNumId w:val="22"/>
  </w:num>
  <w:num w:numId="5">
    <w:abstractNumId w:val="16"/>
  </w:num>
  <w:num w:numId="6">
    <w:abstractNumId w:val="7"/>
  </w:num>
  <w:num w:numId="7">
    <w:abstractNumId w:val="23"/>
  </w:num>
  <w:num w:numId="8">
    <w:abstractNumId w:val="15"/>
  </w:num>
  <w:num w:numId="9">
    <w:abstractNumId w:val="8"/>
  </w:num>
  <w:num w:numId="10">
    <w:abstractNumId w:val="3"/>
  </w:num>
  <w:num w:numId="11">
    <w:abstractNumId w:val="13"/>
  </w:num>
  <w:num w:numId="12">
    <w:abstractNumId w:val="0"/>
  </w:num>
  <w:num w:numId="13">
    <w:abstractNumId w:val="21"/>
  </w:num>
  <w:num w:numId="14">
    <w:abstractNumId w:val="2"/>
  </w:num>
  <w:num w:numId="15">
    <w:abstractNumId w:val="1"/>
  </w:num>
  <w:num w:numId="16">
    <w:abstractNumId w:val="18"/>
  </w:num>
  <w:num w:numId="17">
    <w:abstractNumId w:val="4"/>
  </w:num>
  <w:num w:numId="18">
    <w:abstractNumId w:val="10"/>
  </w:num>
  <w:num w:numId="19">
    <w:abstractNumId w:val="25"/>
  </w:num>
  <w:num w:numId="20">
    <w:abstractNumId w:val="20"/>
  </w:num>
  <w:num w:numId="21">
    <w:abstractNumId w:val="5"/>
  </w:num>
  <w:num w:numId="22">
    <w:abstractNumId w:val="14"/>
  </w:num>
  <w:num w:numId="23">
    <w:abstractNumId w:val="17"/>
  </w:num>
  <w:num w:numId="24">
    <w:abstractNumId w:val="19"/>
  </w:num>
  <w:num w:numId="25">
    <w:abstractNumId w:val="24"/>
  </w:num>
  <w:num w:numId="26">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956"/>
    <w:rsid w:val="003847F4"/>
    <w:rsid w:val="003E2B82"/>
    <w:rsid w:val="005A0156"/>
    <w:rsid w:val="00637953"/>
    <w:rsid w:val="00AA14AC"/>
    <w:rsid w:val="00B64956"/>
    <w:rsid w:val="00EC7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0CA2"/>
  <w15:docId w15:val="{64F1AE6D-6F22-4280-B595-32B0F9FF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Heading2Char">
    <w:name w:val="Heading 2 Char"/>
    <w:basedOn w:val="DefaultParagraphFont"/>
    <w:link w:val="Heading2"/>
    <w:uiPriority w:val="9"/>
    <w:rsid w:val="00637953"/>
    <w:rPr>
      <w:b/>
      <w:bCs/>
      <w:sz w:val="36"/>
      <w:szCs w:val="36"/>
    </w:rPr>
  </w:style>
  <w:style w:type="character" w:styleId="Hyperlink">
    <w:name w:val="Hyperlink"/>
    <w:basedOn w:val="DefaultParagraphFont"/>
    <w:uiPriority w:val="99"/>
    <w:unhideWhenUsed/>
    <w:rsid w:val="00637953"/>
    <w:rPr>
      <w:color w:val="0000FF" w:themeColor="hyperlink"/>
      <w:u w:val="single"/>
    </w:rPr>
  </w:style>
  <w:style w:type="character" w:styleId="UnresolvedMention">
    <w:name w:val="Unresolved Mention"/>
    <w:basedOn w:val="DefaultParagraphFont"/>
    <w:uiPriority w:val="99"/>
    <w:semiHidden/>
    <w:unhideWhenUsed/>
    <w:rsid w:val="006379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edinform.jmir.org/2025/1/e77891" TargetMode="External"/><Relationship Id="rId13" Type="http://schemas.openxmlformats.org/officeDocument/2006/relationships/hyperlink" Target="https://peppercenter.ucsf.edu/medicare-data" TargetMode="External"/><Relationship Id="rId18" Type="http://schemas.openxmlformats.org/officeDocument/2006/relationships/hyperlink" Target="https://medinsight.com/healthcare-data-analytics-resources/blog/mitigating-the-impact-of-high-cost-claimants-with-employer-group-insights/" TargetMode="External"/><Relationship Id="rId3" Type="http://schemas.openxmlformats.org/officeDocument/2006/relationships/settings" Target="settings.xml"/><Relationship Id="rId7" Type="http://schemas.openxmlformats.org/officeDocument/2006/relationships/hyperlink" Target="https://www.deloitte.com/us/en/insights/industry/health-care/proactive-care-medicare-savings.html" TargetMode="External"/><Relationship Id="rId12" Type="http://schemas.openxmlformats.org/officeDocument/2006/relationships/hyperlink" Target="https://www.cms.gov/files/document/de-10-codebook.pdf-0" TargetMode="External"/><Relationship Id="rId17" Type="http://schemas.openxmlformats.org/officeDocument/2006/relationships/hyperlink" Target="https://www.healthaffairs.org/doi/abs/10.1377/hlthaff.2018.05178" TargetMode="External"/><Relationship Id="rId2" Type="http://schemas.openxmlformats.org/officeDocument/2006/relationships/styles" Target="styles.xml"/><Relationship Id="rId16" Type="http://schemas.openxmlformats.org/officeDocument/2006/relationships/hyperlink" Target="https://www.cms.gov/data-research/statistics-trends-and-reports/medicare-claims-synthetic-public-use-files/cms-2008-2010-data-entrepreneurs-synthetic-public-use-file-de-synpuf/de10-sample-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rejourney.com/better-patient-outcomes-greater-shared-savings-the-case-for-renewed-excitement-in-value-based-care/" TargetMode="External"/><Relationship Id="rId11" Type="http://schemas.openxmlformats.org/officeDocument/2006/relationships/hyperlink" Target="https://www.cms.gov/data-research/statistics-trends-and-reports/medicare-claims-synthetic-public-use-files/cms-2008-2010-data-entrepreneurs-synthetic-public-use-file-de-synpuf" TargetMode="External"/><Relationship Id="rId5" Type="http://schemas.openxmlformats.org/officeDocument/2006/relationships/hyperlink" Target="https://pubsonline.informs.org/doi/10.1287/isre.2021.0643" TargetMode="External"/><Relationship Id="rId15" Type="http://schemas.openxmlformats.org/officeDocument/2006/relationships/hyperlink" Target="https://www.milliman.com/en/insight/part-d-trend-insights-analysis-specialty-drug-utilization" TargetMode="External"/><Relationship Id="rId10" Type="http://schemas.openxmlformats.org/officeDocument/2006/relationships/hyperlink" Target="https://www.slideteam.net/top-10-healthcare-data-analysis-powerpoint-presentation-templat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dingage.org/cms-launches-challenge-to-fight-fraud/" TargetMode="External"/><Relationship Id="rId14" Type="http://schemas.openxmlformats.org/officeDocument/2006/relationships/hyperlink" Target="https://www.cms.gov/Research-Statistics-Data-and-Systems/Downloadable-Public-Use-Files/SynPUFs/Downloads/SynPUF_DUG.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4198</Words>
  <Characters>23930</Characters>
  <Application>Microsoft Office Word</Application>
  <DocSecurity>0</DocSecurity>
  <Lines>199</Lines>
  <Paragraphs>56</Paragraphs>
  <ScaleCrop>false</ScaleCrop>
  <Company/>
  <LinksUpToDate>false</LinksUpToDate>
  <CharactersWithSpaces>28072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GIM</cp:lastModifiedBy>
  <cp:revision>7</cp:revision>
  <dcterms:created xsi:type="dcterms:W3CDTF">2026-02-13T09:44:00Z</dcterms:created>
  <dcterms:modified xsi:type="dcterms:W3CDTF">2026-02-13T10:05:00Z</dcterms:modified>
</cp:coreProperties>
</file>