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b/>
          <w:bCs/>
          <w:color w:val="1F4E79"/>
          <w:sz w:val="52"/>
          <w:szCs w:val="52"/>
        </w:rPr>
        <w:t xml:space="preserve">Enterprise Diagnostics Platform</w:t>
      </w:r>
    </w:p>
    <w:p>
      <w:pPr>
        <w:spacing w:after="160"/>
        <w:jc w:val="center"/>
      </w:pPr>
      <w:r>
        <w:rPr>
          <w:color w:val="2E75B6"/>
          <w:sz w:val="34"/>
          <w:szCs w:val="34"/>
        </w:rPr>
        <w:t xml:space="preserve">Solution Architecture &amp; Implementation Roadmap</w:t>
      </w:r>
    </w:p>
    <w:p>
      <w:pPr>
        <w:spacing w:after="400"/>
        <w:jc w:val="center"/>
      </w:pPr>
      <w:r>
        <w:rPr>
          <w:i/>
          <w:iCs/>
          <w:sz w:val="24"/>
          <w:szCs w:val="24"/>
        </w:rPr>
        <w:t xml:space="preserve">POC · MVP · Production — Warranty Claims Intelligent Triage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800"/>
        <w:gridCol w:w="2400"/>
        <w:gridCol w:w="17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Document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Date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Author Role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Classification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Implementation Roadmap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June 25, 2026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Senior Solution Architect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Internal — Program Planning</w:t>
            </w:r>
          </w:p>
        </w:tc>
      </w:tr>
    </w:tbl>
    <w:p>
      <w:pPr>
        <w:spacing w:after="200"/>
      </w:pPr>
    </w:p>
    <w:p>
      <w:pPr>
        <w:spacing w:after="120"/>
      </w:pPr>
      <w:r>
        <w:t xml:space="preserve">This document defines how to build an enterprise-grade warranty diagnostics platform from the existing diagnostic-chatbot demonstration codebase. Estimates are intentionally conservative. Timelines assume a mid-to-large appliance or consumer durables enterprise with existing CRM, claims, PIM/PLM, and field service systems, moderate integration complexity, and formal change governance.</w:t>
      </w:r>
    </w:p>
    <w:p>
      <w:r>
        <w:br w:type="page"/>
      </w:r>
    </w:p>
    <w:p>
      <w:pPr>
        <w:pStyle w:val="Heading1"/>
      </w:pPr>
      <w:r>
        <w:t xml:space="preserve">1. Executive Summary</w:t>
      </w:r>
    </w:p>
    <w:p>
      <w:pPr>
        <w:pStyle w:val="Heading2"/>
      </w:pPr>
      <w:r>
        <w:t xml:space="preserve">1.1 Business Objective</w:t>
      </w:r>
    </w:p>
    <w:p>
      <w:pPr>
        <w:spacing w:after="120"/>
      </w:pPr>
      <w:r>
        <w:t xml:space="preserve">Reduce contact center load for warranty and support by resolving or deflecting low-risk cases through graph-backed automated diagnosis, while escalating only genuine, ambiguous, or safety-critical cases to human agents with a complete, source-traceable diagnostic dossier.</w:t>
      </w:r>
    </w:p>
    <w:p>
      <w:pPr>
        <w:pStyle w:val="Heading2"/>
      </w:pPr>
      <w:r>
        <w:t xml:space="preserve">1.2 What Exists Today (Demonstration Baseline)</w:t>
      </w:r>
    </w:p>
    <w:p>
      <w:pPr>
        <w:spacing w:after="120"/>
      </w:pPr>
      <w:r>
        <w:t xml:space="preserve">The repository diagnostic-chatbot already proves the core technical pattern: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Neo4j knowledge graph with Product, Symptom, FailureMode, DiagnosticStep, Part, HistoricalResolution ontology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populate_graph.py — MERGE-based Neo4j loader from validated JSON catalog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graph/graph_rag.py — graph-native diagnosis (symptom match, failure ranking, escalation rules)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agents/diagnosis_graph.py — LangGraph workflow (detect → diagnose → format → escalate)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graph/enterprise_pipeline/ — scaffolded ETL with mock CRM, Claims, PIM, FSM connectors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Streamlit UI — customer chat, human agent dashboard, knowledge explorer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Three appliance products only (wm-001, dw-001, mw-001); no production integrations; no source provenance on graph entities</w:t>
      </w:r>
    </w:p>
    <w:p>
      <w:pPr>
        <w:pStyle w:val="Heading2"/>
      </w:pPr>
      <w:r>
        <w:t xml:space="preserve">1.3 What Must Be Built for Enterprise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Automated, governed knowledge ingestion from authoritative enterprise systems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End-to-end source traceability and provenance on every graph entity and diagnosis evidence line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Real CRM, claims, PIM/PLM, and FSM integrations with staging, validation, and operational monitoring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Production API, security, SSO, case management handoff, and scalable Neo4j deployment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Knowledge engineering operating model for hundreds of product families — not manual JSON authoring</w:t>
      </w:r>
    </w:p>
    <w:p>
      <w:pPr>
        <w:pStyle w:val="Heading2"/>
      </w:pPr>
      <w:r>
        <w:t xml:space="preserve">1.4 Recommended Phasing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3200"/>
        <w:gridCol w:w="33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Phase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Duration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Purpose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Realistic Outcome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POC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Weeks 1–8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Prove graph diagnosis value on limited scope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 product families, 1 live read integration, provenance v1, agent dossier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MVP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Weeks 9–16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Operational pilot with real handoff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10–15 families, 3 integrations, scheduled ETL, SSO, case write-back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Month 5–24+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Scale, govern, harden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100+ families, full connector suite, HA Neo4j, SME workflow, regional rollout</w:t>
            </w:r>
          </w:p>
        </w:tc>
      </w:tr>
    </w:tbl>
    <w:p>
      <w:pPr>
        <w:spacing w:after="200"/>
      </w:pPr>
    </w:p>
    <w:p>
      <w:pPr>
        <w:spacing w:after="120"/>
      </w:pPr>
      <w:r>
        <w:t xml:space="preserve">Important: covering hundreds of applications with high accuracy is a multi-quarter to multi-year program, not a 16-week outcome. The MVP establishes the operating model; production scale is measured in catalog breadth, integration maturity, and governance — not demo feature count.</w:t>
      </w:r>
    </w:p>
    <w:p>
      <w:r>
        <w:br w:type="page"/>
      </w:r>
    </w:p>
    <w:p>
      <w:pPr>
        <w:pStyle w:val="Heading1"/>
      </w:pPr>
      <w:r>
        <w:t xml:space="preserve">2. Solution Architecture</w:t>
      </w:r>
    </w:p>
    <w:p>
      <w:pPr>
        <w:pStyle w:val="Heading2"/>
      </w:pPr>
      <w:r>
        <w:t xml:space="preserve">2.1 Logical Architecture</w:t>
      </w:r>
    </w:p>
    <w:p>
      <w:pPr>
        <w:shd w:fill="F2F2F2" w:val="clear"/>
        <w:spacing w:after="80" w:before="80"/>
      </w:pPr>
      <w:r>
        <w:rPr>
          <w:rFonts w:ascii="Courier New" w:cs="Courier New" w:eastAsia="Courier New" w:hAnsi="Courier New"/>
          <w:sz w:val="20"/>
          <w:szCs w:val="20"/>
        </w:rPr>
        <w:t xml:space="preserve">ENTERPRISE SOURCES                    PLATFORM                           CONSUMERS
─────────────────                    ────────                           ─────────
PIM/PLM (products, FMEA, manuals) ─┐
FSM (closed work orders)          ─┤
Claims (closed claims, policy)    ─┼──▶ ETL Pipeline ──▶ Staging ──▶ Neo4j KG
CRM (assets, warranty)            ─┤      (enterprise_pipeline)     (populate_graph)
Call center KB / PDF manuals      ─┘              │                        │
                                                  ▼                        ▼
                                         Provenance Store          GraphRAG Engine
                                         (source refs per node)    (graph_rag.py)
                                                                   │
                                         LangGraph Agent ◀─────────┘
                                         (diagnosis_graph.py)
                                               │
                    ┌──────────────────────────┼──────────────────────────┐
                    ▼                          ▼                          ▼
              Customer Channel          Agent Dashboard            Analytics / Audit</w:t>
      </w:r>
    </w:p>
    <w:p>
      <w:pPr>
        <w:pStyle w:val="Heading2"/>
      </w:pPr>
      <w:r>
        <w:t xml:space="preserve">2.2 Role of populate_graph.py</w:t>
      </w:r>
    </w:p>
    <w:p>
      <w:pPr>
        <w:spacing w:after="120"/>
      </w:pPr>
      <w:r>
        <w:t xml:space="preserve">populate_graph.py is the Load step in ETL. It does not fetch enterprise data. It takes a validated ontology catalog (JSON) and writes nodes and relationships into Neo4j using MERGE, which makes re-runs idempotent.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3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JSON Entity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Neo4j Node / Relationship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Production 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(:Product)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Authoritative ID from PIM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symptoms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(:Symptom) + HAS_SYMPTOM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SME-reviewed symptom catalog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failure_modes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(:FailureMode) + CAN_HAVE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From FMEA / reliability engineering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diagnostic_steps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(:DiagnosticStep) + HAS_DIAGNOSTIC_STEP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From service manuals / SOPs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(:Part)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From PIM BOM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symptom_failure_links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INDICATES {confidence}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Calibrated from field + claims data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historical_resolutions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(:HistoricalResolution) + CONFIRMED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From FSM + claims closures</w:t>
            </w:r>
          </w:p>
        </w:tc>
      </w:tr>
    </w:tbl>
    <w:p>
      <w:pPr>
        <w:spacing w:after="200"/>
      </w:pPr>
    </w:p>
    <w:p>
      <w:pPr>
        <w:spacing w:after="120"/>
      </w:pPr>
      <w:r>
        <w:t xml:space="preserve">In production, populate_graph.py targets staging Neo4j first. Promotion to production occurs only after validation gates and smoke tests pass. The loader logic itself changes little; orchestration, credentials, and governance around it change substantially.</w:t>
      </w:r>
    </w:p>
    <w:p>
      <w:pPr>
        <w:pStyle w:val="Heading2"/>
      </w:pPr>
      <w:r>
        <w:t xml:space="preserve">2.3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2000"/>
        <w:gridCol w:w="2160"/>
        <w:gridCol w:w="24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Layer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POC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MVP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Production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Rationale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Knowledge store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Neo4j Docker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Neo4j Aura Professional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Neo4j Aura Enterprise / self-hosted cluster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Graph traversal fits diagnostic reasoning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ETL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Python pipeline + fixtures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Scheduled Airflow/cron job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Managed ETL + CI/CD + data contracts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Repeatable, auditable ingestion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Agent orchestration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LangGraph (existing)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LangGraph + FastAPI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Same, horizontally scaled API tier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Typed multi-step workflow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Retrieval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graph_rag.py lexical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Lexical + limited embeddings pilot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Hybrid graph + vector retrieval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Start deterministic; add vectors where justified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Streamlit (acceptable POC)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React/Next.js or enterprise portal embed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Omnichannel: web, mobile, agent desktop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Streamlit not enterprise customer channel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Case / escalation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JSON file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Salesforce Cases / ServiceNow API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Integrated ACD + CRM case objects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Operational workflow requirement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Auth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SSO OIDC (corporate IdP)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SSO + RBAC + service accounts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Enterprise security baseline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Observability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Basic logging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Metrics + alerting on ETL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Full APM, audit logs, lineage dashboards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Operational necessity at scale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</w:pPr>
      <w:r>
        <w:t xml:space="preserve">3. Source Traceability &amp; Grounded Evidence (Required Design)</w:t>
      </w:r>
    </w:p>
    <w:p>
      <w:pPr>
        <w:spacing w:after="120"/>
      </w:pPr>
      <w:r>
        <w:t xml:space="preserve">The current demonstration does not attach provenance metadata to graph entities. For enterprise and contact center trust, every diagnosis element shown to an agent must cite authoritative sources. This is a mandatory design addition — not optional polish.</w:t>
      </w:r>
    </w:p>
    <w:p>
      <w:pPr>
        <w:pStyle w:val="Heading2"/>
      </w:pPr>
      <w:r>
        <w:t xml:space="preserve">3.1 Provenance Model (Proposed)</w:t>
      </w:r>
    </w:p>
    <w:p>
      <w:pPr>
        <w:spacing w:after="120"/>
      </w:pPr>
      <w:r>
        <w:t xml:space="preserve">Extend ontology and Neo4j schema with provenance attributes on nodes and relationships:</w:t>
      </w:r>
    </w:p>
    <w:p>
      <w:pPr>
        <w:shd w:fill="F2F2F2" w:val="clear"/>
        <w:spacing w:after="80" w:before="80"/>
      </w:pPr>
      <w:r>
        <w:rPr>
          <w:rFonts w:ascii="Courier New" w:cs="Courier New" w:eastAsia="Courier New" w:hAnsi="Courier New"/>
          <w:sz w:val="20"/>
          <w:szCs w:val="20"/>
        </w:rPr>
        <w:t xml:space="preserve">(:Symptom {
  symptom_id, description, severity,
  source_system: 'PIM|FSM|CallCenterKB|Manual',
  source_record_id: 'SAP-PLM-FMEA-8842',
  source_document_uri: 's3://manuals/wm-001/troubleshooting.pdf#page=14',
  source_version: '2026-Q2',
  ingested_at: '2026-06-01T02:00:00Z',
  approved_by: 'knowledge-engineer@org.com',
  approval_status: 'approved|draft|retired'
})</w:t>
      </w:r>
    </w:p>
    <w:p>
      <w:pPr>
        <w:pStyle w:val="Heading2"/>
      </w:pPr>
      <w:r>
        <w:t xml:space="preserve">3.2 What Agents Must See on Escalation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7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Evidence Element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Displayed To Agent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Traceability Fields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Matched symptom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Customer language + canonical symptom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Source system, document, record ID, version, ingest date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Ranked failure mode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Name, confidence, safety notes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FMEA ID, engineering owner, last calibration date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Diagnostic step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Ordered troubleshooting action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Service manual section, SOP ID, technician certification level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Historical resolution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Similar past fix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FSM work order ID or claim ID, closed date, technician 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 recommendation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 number and cost estimate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PIM BOM reference, supersession chain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Warranty context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Eligible / not eligible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CRM asset ID, claims policy ID, purchase date source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Escalation reason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Rule that fired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Rule version, threshold config, audit event ID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3.3 Lineage Store</w:t>
      </w:r>
    </w:p>
    <w:p>
      <w:pPr>
        <w:spacing w:after="120"/>
      </w:pPr>
      <w:r>
        <w:t xml:space="preserve">Recommendation: maintain a lineage table or graph meta-layer (could be PostgreSQL or Neo4j meta-nodes) mapping entity_id → source payloads, ETL batch ID, transformation version, and approver. GraphRAG evidence[] array should carry source references, not just human-readable strings.</w:t>
      </w:r>
    </w:p>
    <w:p>
      <w:r>
        <w:br w:type="page"/>
      </w:r>
    </w:p>
    <w:p>
      <w:pPr>
        <w:pStyle w:val="Heading1"/>
      </w:pPr>
      <w:r>
        <w:t xml:space="preserve">4. End-to-End Build Sequence</w:t>
      </w:r>
    </w:p>
    <w:p>
      <w:pPr>
        <w:spacing w:after="120"/>
      </w:pPr>
      <w:r>
        <w:t xml:space="preserve">Logical order to construct the platform — each step depends on the prior: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600"/>
        <w:gridCol w:w="2800"/>
        <w:gridCol w:w="21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Step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Activity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Primary Deliverable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Depends 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Confirm ontology with engineering + service SMEs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Signed ontology spec v1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Executive sponsorship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Inventory authoritative data sources per entity type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Source system matrix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Step 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Implement connector contracts (PIM, FSM, Claims, CRM)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Connector interfaces + mocks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Step 2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Build transformation / OntologyBuilder with validation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Pydantic schemas + unit tests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Steps 1–3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Implement provenance + approval metadata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Provenance schema + DB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Step 4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Staging Neo4j + populate_graph.py automation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Repeatable load job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Steps 4–5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GraphRAG engine + evaluation test suite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Diagnosis API with metrics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Step 6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LangGraph workflow + escalation integration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Agent orchestration service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Step 7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Customer channel + agent dashboard with lineage UI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Pilot UI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Step 8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Operational runbooks, monitoring, SME workflow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Governance model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Step 9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</w:pPr>
      <w:r>
        <w:t xml:space="preserve">5. Phase 1 — Proof of Concept (Weeks 1–8)</w:t>
      </w:r>
    </w:p>
    <w:p>
      <w:pPr>
        <w:pStyle w:val="Heading2"/>
      </w:pPr>
      <w:r>
        <w:t xml:space="preserve">5.1 POC Objectives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Prove that graph-backed diagnosis is more explainable and operationally useful than LLM-only chat for warranty triage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Validate ontology and ETL pattern on 2 product families (e.g., front-load washer + dishwasher)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Demonstrate escalation dossier with source traceability v1 to contact center stakeholders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Establish baseline accuracy metrics on 30–50 curated test scenarios</w:t>
      </w:r>
    </w:p>
    <w:p>
      <w:pPr>
        <w:pStyle w:val="Heading2"/>
      </w:pPr>
      <w:r>
        <w:t xml:space="preserve">5.2 POC Scope — 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Workstream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In Scope for POC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 families (~6–10 SKU variants mapped to family-level graph)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Knowledge sources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 authoritative source live read (CRM sandbox assets) + PIM/FSM/Claims via controlled exports or fixtures transitioning to API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Graph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Single Neo4j staging instance; populate_graph.py automated in CI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Diagnosis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Existing GraphRAG + LangGraph; add provenance fields to DiagnosisResult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UI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Streamlit acceptable; agent view must show source citations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Integrations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 read integration (CRM); escalation remains JSON or CRM case draft API in sandbox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Security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Non-prod secrets; no customer PII stored in graph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30–50 SME-authored scenarios; target ≥70% correct top-1 failure mode on curated set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5.3 POC Scope — Out (Explicitly Deferred)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Full catalog of 100+ product families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Production SSO, WAF, multi-region HA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Automated PDF manual ingestion at scale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Embedding / vector search production rollout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Real-time IoT telemetry ingestion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Full claims write-back and warranty adjudication automation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Customer-facing production channel (POC uses demo / pilot URL only)</w:t>
      </w:r>
    </w:p>
    <w:p>
      <w:pPr>
        <w:pStyle w:val="Heading2"/>
      </w:pPr>
      <w:r>
        <w:t xml:space="preserve">5.4 POC Weekly 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476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Week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Focus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Deliverables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Discovery &amp; mobilization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Source system matrix, ontology workshop, environments provisioned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Ontology v1 + provenance schema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Signed ontology spec, provenance data model, Neo4j staging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CRM connector (read) + PIM export pipeline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Working connector, first catalog JSON for 1 family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populate_graph automation + GraphRAG baseline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Automated load, baseline test harness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FSM/Claims historical resolution ingest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HistoricalResolution nodes with source IDs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Agent dossier + traceability UI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Escalation view with document/system citations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SME validation + accuracy benchmarking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 report, defect backlog, calibration adjustments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POC readout &amp; MVP decision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Executive demo, recommendation, refined estimate for MVP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5.5 POC Team (Realistic)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45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Role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Allocation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Responsibility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Solution / Enterprise Architect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40%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Architecture, integration patterns, governance design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Technical Lead (Backend)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100%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Pipeline, GraphRAG, LangGraph, code quality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Knowledge Engineer / Ontologist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100%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Symptom catalog, FMEA mapping, SME sessions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Integration Engineer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75%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CRM connector, API auth, data contracts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Graph / Data Engineer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75%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Neo4j, populate_graph, staging promotion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Frontend / UX (Agent UI)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50%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Agent dashboard traceability views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QA Engineer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50%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Scenario tests, regression harness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 Owner + Service SME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25%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Acceptance criteria, test scenarios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DevOps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25%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Non-prod environments, CI pipeline</w:t>
            </w:r>
          </w:p>
        </w:tc>
      </w:tr>
    </w:tbl>
    <w:p>
      <w:pPr>
        <w:spacing w:after="200"/>
      </w:pPr>
    </w:p>
    <w:p>
      <w:pPr>
        <w:spacing w:after="120"/>
      </w:pPr>
      <w:r>
        <w:t xml:space="preserve">Effective core team: approximately 5.5–6.0 FTE for 8 weeks.</w:t>
      </w:r>
    </w:p>
    <w:p>
      <w:pPr>
        <w:pStyle w:val="Heading2"/>
      </w:pPr>
      <w:r>
        <w:t xml:space="preserve">5.6 POC Effort Estimate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41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Metric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Estimate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Calendar duration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weeks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Assumes decisions within 3 business days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Person-weeks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44–52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Conservative; excludes long procurement delays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Direct labor cost (indicative)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$220K–$380K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Wide range by geography and contractor mix; excludes licenses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Neo4j non-prod license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$0–$5K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Community Docker for POC; Aura trial possible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Primary risk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SME availability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Knowledge engineering blocked without service engineering time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5.7 POC Success Criteria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≥70% top-1 failure mode accuracy on agreed 30–50 scenario test pack (SME-validated)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100% of escalated cases show provenance for symptoms, failure modes, and steps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End-to-end demo: CRM asset pre-bind → chat diagnosis → escalation dossier in &lt;10 seconds P95 (non-prod)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Documented MVP backlog with refined estimates from measured POC velocity</w:t>
      </w:r>
    </w:p>
    <w:p>
      <w:r>
        <w:br w:type="page"/>
      </w:r>
    </w:p>
    <w:p>
      <w:pPr>
        <w:pStyle w:val="Heading1"/>
      </w:pPr>
      <w:r>
        <w:t xml:space="preserve">6. Phase 2 — MVP (Weeks 9–16)</w:t>
      </w:r>
    </w:p>
    <w:p>
      <w:pPr>
        <w:pStyle w:val="Heading2"/>
      </w:pPr>
      <w:r>
        <w:t xml:space="preserve">6.1 MVP Objectives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Pilot with live contact center agents on limited product scope (10–15 families)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Replace demo persistence with real case management integration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Run scheduled ETL in non-prod → staging → production promotion with approval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Establish minimum viable knowledge governance workflow</w:t>
      </w:r>
    </w:p>
    <w:p>
      <w:pPr>
        <w:pStyle w:val="Heading2"/>
      </w:pPr>
      <w:r>
        <w:t xml:space="preserve">6.2 MVP Scope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29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Dimension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MVP Target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Rationale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 coverage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10–15 families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Enough to validate operations; not full catalog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Integrations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CRM read/write, Claims read, PIM or FSM read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Minimum for eligibility + handoff + resolutions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Channel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Pilot web chat + agent desktop embed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Streamlit retired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Auth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Corporate SSO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Required for agent pilot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ETL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Nightly scheduled pipeline with monitoring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Operational freshness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Provenance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v2 — linked document viewer URLs where available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Agent trust requirement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Accuracy target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≥75% top-1 on pilot family test pack; track live override rate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Measure agent corrections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Volume assumption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Low hundreds diagnoses/day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Pilot scale only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6.3 MVP Weekly Plan (Summary)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Weeks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Milestones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9–10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FastAPI diagnosis service, SSO, retire Streamlit for pilot UI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11–12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CRM + Claims live connectors; case create/update on escalation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13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Scheduled ETL to staging + promotion workflow with SME sign-off queue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14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Expand catalog to 10–15 families via knowledge engineering sprint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15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Agent pilot UAT, override logging, provenance UI hardening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MVP go/no-go, production scale program charter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6.4 MVP Team &amp; Effort</w:t>
      </w:r>
    </w:p>
    <w:p>
      <w:pPr>
        <w:spacing w:after="120"/>
      </w:pPr>
      <w:r>
        <w:t xml:space="preserve">MVP requires approximately 6–7 FTE for 8 weeks (48–58 person-weeks). Adds part-time Security Architect (20%) and Change Manager (15%) for SSO and pilot onboarding.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Metric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Estimate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Person-weeks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48–58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Indicative labor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$260K–$450K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Neo4j Aura Professional (pilot)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$3K–$8K/month (environment dependent)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Program risk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Integration API instability; plan 2-week buffer for vendor environments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</w:pPr>
      <w:r>
        <w:t xml:space="preserve">7. Phase 3 — Production Program (Month 5 Onward)</w:t>
      </w:r>
    </w:p>
    <w:p>
      <w:pPr>
        <w:spacing w:after="120"/>
      </w:pPr>
      <w:r>
        <w:t xml:space="preserve">Production is a separate program, not a 2-week extension of MVP. For an enterprise with hundreds of product families, multiple brands, regions, and legacy systems, a realistic production timeline is 12–24 months to reach broad catalog coverage with governed automation — assuming dedicated program funding.</w:t>
      </w:r>
    </w:p>
    <w:p>
      <w:pPr>
        <w:pStyle w:val="Heading2"/>
      </w:pPr>
      <w:r>
        <w:t xml:space="preserve">7.1 Production Objectives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Scale knowledge graph to 100+ product families with governed ingestion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Integrate all authoritative systems with incremental sync and lineage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Support thousands of diagnoses per day with HA, DR, and SLOs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Achieve sustained agent override rate reduction vs. baseline (target set after MVP pilot metrics)</w:t>
      </w:r>
    </w:p>
    <w:p>
      <w:pPr>
        <w:pStyle w:val="Heading2"/>
      </w:pPr>
      <w:r>
        <w:t xml:space="preserve">7.2 Production Workstreams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7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Workstream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Key Activities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Deliverables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Knowledge at scale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SME workflow, FMEA onboarding factory, manual ingestion pipeline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100+ families onboarded with approval audit trail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Integration factory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Connector templates, contract tests, secrets rotation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CRM, Claims, PIM, FSM, CCaaS, IoT (as applicable)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Graph platform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Aura Enterprise cluster, read replicas, backup/DR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99.9% availability target (business TBD)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Retrieval quality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Hybrid retrieval pilot → production where ROI proven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Improved symptom recall on noisy customer language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Security &amp; compliance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PII boundary reviews, pen test, SOC2 alignment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security sign-off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Operations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SRE runbooks, on-call, ETL failure playbooks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24×7 support model for peak season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Change management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Agent training, macro updates, KPI dashboards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Adoption metrics tied to AHT and escalation rate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7.3 Production Catalog Scaling (Realistic)</w:t>
      </w:r>
    </w:p>
    <w:p>
      <w:pPr>
        <w:spacing w:after="120"/>
      </w:pPr>
      <w:r>
        <w:t xml:space="preserve">Knowledge engineering throughput — based on industry experience for governed diagnostic content — is typically: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2–4 product families per knowledge engineer per month (new onboarding with FMEA + symptoms + steps + SME review)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100 families ≈ 25–50 engineer-months of knowledge work, parallelized across a team of 4–6 over 6–12 months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Automation reduces manual effort but does not eliminate SME approval; FMEA and safety content require human sign-off</w:t>
      </w:r>
    </w:p>
    <w:p>
      <w:pPr>
        <w:pStyle w:val="Heading2"/>
      </w:pPr>
      <w:r>
        <w:t xml:space="preserve">7.4 Production Team (Steady State Program)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200"/>
        <w:gridCol w:w="45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Role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Program Manager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Cross-workstream coordination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Solution Architect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0.5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Ongoing design authority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Knowledge Engineering Lead + engineers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4–6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Catalog scale bottleneck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Backend / Graph engineers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3–4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ETL, GraphRAG, APIs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Integration engineers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2–3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Enterprise connectors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Frontend engineers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Customer + agent experiences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QA / ML evaluation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Continuous accuracy regression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DevOps / SRE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1–2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Platform operations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Security architect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0.25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Reviews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Service engineering SMEs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0.25 each × pool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Approval authority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7.5 Production Effort &amp; Timeline (Indicative)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1800"/>
        <w:gridCol w:w="17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Horizon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Scope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Person-months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Calendar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Foundation hardening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HA, security, observability, CI/CD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12–18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Months 5–7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Integration completion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 planned connectors production-grade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18–30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Months 5–10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Catalog expansion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 families governed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30–50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Months 6–18 (parallel)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Channel rollout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Omnichannel + regional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12–20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Months 10–18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 program (indicative)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Broad production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80–120+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12–24 months</w:t>
            </w:r>
          </w:p>
        </w:tc>
      </w:tr>
    </w:tbl>
    <w:p>
      <w:pPr>
        <w:spacing w:after="200"/>
      </w:pPr>
    </w:p>
    <w:p>
      <w:pPr>
        <w:spacing w:after="120"/>
      </w:pPr>
      <w:r>
        <w:t xml:space="preserve">Indicative fully loaded program cost over 18 months: $2.5M–$5.5M depending on geography, vendor licensing, and internal vs. external labor mix. Treat as order-of-magnitude for planning — refine after MVP pilot produces actual velocity data.</w:t>
      </w:r>
    </w:p>
    <w:p>
      <w:r>
        <w:br w:type="page"/>
      </w:r>
    </w:p>
    <w:p>
      <w:pPr>
        <w:pStyle w:val="Heading1"/>
      </w:pPr>
      <w:r>
        <w:t xml:space="preserve">8. Integration Matrix</w:t>
      </w:r>
    </w:p>
    <w:tbl>
      <w:tblPr>
        <w:tblW w:type="dxa" w:w="11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2400"/>
        <w:gridCol w:w="1200"/>
        <w:gridCol w:w="1200"/>
        <w:gridCol w:w="29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System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Data Consumed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Graph Entities Fed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POC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MVP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Production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PIM / PLM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SKU, BOM, FMEA, manuals metadata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Product, Part, FailureMode, DiagnosticStep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Export/fixture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API read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Incremental API + version sync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FSM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Closed work orders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HistoricalResolution, confidence tuning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Fixture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API read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Incremental nightly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Claims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Closed claims, policy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HistoricalResolution, eligibility rules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Fixture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API read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 + selective write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Assets, warranty, customer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Runtime context; not in static graph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Sandbox read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 + case write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Full bidirectional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CCaaS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Agent desktop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Escalation handoff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Out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Pilot embed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routing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Document store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PDF manuals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DiagnosticStep provenance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Manual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Pilot URIs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Automated ingestion assist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IoT / error codes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Smart appliance faults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Symptom, ErrorCode nodes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Out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Out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 2 production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9. Knowledge Base Build at Scale</w:t>
      </w:r>
    </w:p>
    <w:p>
      <w:pPr>
        <w:pStyle w:val="Heading2"/>
      </w:pPr>
      <w:r>
        <w:t xml:space="preserve">9.1 Authoritative Source Hierarchy</w:t>
      </w:r>
    </w:p>
    <w:p>
      <w:pPr>
        <w:spacing w:after="120"/>
      </w:pPr>
      <w:r>
        <w:t xml:space="preserve">When sources conflict, precedence must be documented: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Safety / regulatory content — engineering FMEA and official service manual (highest)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Diagnostic steps — current service manual SOP version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Symptom-failure confidence — field service + claims empirical data (calibrated, versioned)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Customer language variants — call center KB (mapped to canonical symptoms)</w:t>
      </w:r>
    </w:p>
    <w:p>
      <w:pPr>
        <w:pStyle w:val="Heading2"/>
      </w:pPr>
      <w:r>
        <w:t xml:space="preserve">9.2 Automated Pipeline (Target State)</w:t>
      </w:r>
    </w:p>
    <w:p>
      <w:pPr>
        <w:shd w:fill="F2F2F2" w:val="clear"/>
        <w:spacing w:after="80" w:before="80"/>
      </w:pPr>
      <w:r>
        <w:rPr>
          <w:rFonts w:ascii="Courier New" w:cs="Courier New" w:eastAsia="Courier New" w:hAnsi="Courier New"/>
          <w:sz w:val="20"/>
          <w:szCs w:val="20"/>
        </w:rPr>
        <w:t xml:space="preserve">02:00 UTC — Airflow DAG
  ├─ Extract PIM delta (products, parts, FMEA)
  ├─ Extract FSM closed orders (last 24h)
  ├─ Extract Claims closures (last 24h)
  ├─ Transform → OntologyBuilder + provenance
  ├─ Validate → Pydantic + business rules
  ├─ SME auto-queue (only changed entities)
  ├─ Load staging Neo4j (populate_graph.py)
  ├─ Smoke tests (test_diagnosis.py expanded)
  └─ Promote to production Neo4j (approved batch only)</w:t>
      </w:r>
    </w:p>
    <w:p>
      <w:pPr>
        <w:pStyle w:val="Heading2"/>
      </w:pPr>
      <w:r>
        <w:t xml:space="preserve">9.3 Human-in-the-Loop (Non-Negotiable for Safety Content)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New failure modes and safety notes require reliability engineer approval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Confidence changes &gt;10% on safety-related links require review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Retired products/models explicitly marked — never deleted without audit</w:t>
      </w:r>
    </w:p>
    <w:p>
      <w:r>
        <w:br w:type="page"/>
      </w:r>
    </w:p>
    <w:p>
      <w:pPr>
        <w:pStyle w:val="Heading1"/>
      </w:pPr>
      <w:r>
        <w:t xml:space="preserve">10. Deliverables Register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600"/>
        <w:gridCol w:w="1400"/>
        <w:gridCol w:w="35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Deliverable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Phase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Owner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D-01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Ontology specification v1+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POC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Knowledge Engineer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D-02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Source system integration matrix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POC W1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Architect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D-03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Provenance &amp; lineage schema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POC W2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Architect + Data Engineer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D-04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Enterprise ETL pipeline (connectors + OntologyBuilder)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POC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Tech Lead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D-05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populate_graph staging automation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POC W4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Graph Engineer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D-06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GraphRAG diagnosis API + evaluation harness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POC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Tech Lead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D-07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LangGraph agent with escalation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POC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Backend Engineer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D-08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Agent dashboard with source citations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POC W6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UX + Backend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D-09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POC accuracy &amp; explainability report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POC W7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QA + Knowledge Engineer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D-10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FastAPI production service + SSO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MVP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Backend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D-11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CRM + Claims production connectors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MVP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Integration Engineer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D-12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Scheduled ETL + monitoring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MVP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DevOps + Data Engineer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D-13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Knowledge governance workflow tool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MVP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Knowledge Engineering Lead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D-14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MVP pilot operations runbook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MVP W16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Program Manager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D-15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HA Neo4j deployment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SRE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D-16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Catalog onboarding playbook (100+ families)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Knowledge Engineering Lead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D-17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Security &amp; pen test sign-off pack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Security Architect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D-18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KPI dashboard (deflection, override, AHT)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 Owner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11. Rationale for Phase Slicing</w:t>
      </w:r>
    </w:p>
    <w:p>
      <w:pPr>
        <w:pStyle w:val="Heading2"/>
      </w:pPr>
      <w:r>
        <w:t xml:space="preserve">11.1 Why 8-Week POC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Long enough to run real ETL + Neo4j + GraphRAG integration, not just slides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Short enough to limit spend before proving accuracy and agent usefulness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Defers expensive production hardening until value hypothesis is validated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Forces focus on 2 families — exposes knowledge engineering bottlenecks early</w:t>
      </w:r>
    </w:p>
    <w:p>
      <w:pPr>
        <w:pStyle w:val="Heading2"/>
      </w:pPr>
      <w:r>
        <w:t xml:space="preserve">11.2 Why MVP Before Production Scale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Contact center adoption risk is organizational — must pilot with real agents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Integration contracts and API reliability unknown until touched in anger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Override rate and provenance usefulness are measurable only in live pilot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MVP produces velocity metrics needed to forecast 100-family program honestly</w:t>
      </w:r>
    </w:p>
    <w:p>
      <w:pPr>
        <w:pStyle w:val="Heading2"/>
      </w:pPr>
      <w:r>
        <w:t xml:space="preserve">11.3 Why Production Is a Separate Multi-Month Program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Hundreds of families × governed SME review = throughput-limited, not code-limited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Legacy system integration and regional variation multiply connector work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HA, security, and compliance require dedicated engineering, not side-of-desk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Accuracy expectations rise with coverage — regression testing burden grows linearly at minimum</w:t>
      </w:r>
    </w:p>
    <w:p>
      <w:r>
        <w:br w:type="page"/>
      </w:r>
    </w:p>
    <w:p>
      <w:pPr>
        <w:pStyle w:val="Heading1"/>
      </w:pPr>
      <w:r>
        <w:t xml:space="preserve">12.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400"/>
        <w:gridCol w:w="3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Risk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Likelihood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Impact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Mitigation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SME time unavailable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High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High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Executive sponsor mandate; dedicated knowledge engineer bridge role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PIM/FMEA data quality poor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Medium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High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POC source assessment week 1; manual curation fallback with provenance flags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Over-reliance on LLM proposed by stakeholders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Medium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High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Architecture principle: graph truth first; LLM formatting only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Neo4j licensing cost pushback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Medium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Medium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Start Aura Professional; model TCO vs. contact center savings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Integration API changes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High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Medium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Contract tests; abstraction in connector layer (already scaffolded)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Accuracy below agent trust threshold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Medium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High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Curated test pack; human override logging; iterative calibration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Traceability UI clutter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Medium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Medium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Progressive disclosure: summary + expandable source detail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13. Non-Functional Requirements (Production Targets)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200"/>
        <w:gridCol w:w="21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NFR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MVP Pilot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Production Target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Diagnosis API P95 latency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&lt;3s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&lt;2s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Excludes CRM enrichment timeouts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ETL freshness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Daily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Daily + incremental hourly for resolutions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Business to confirm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Availability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99% business hours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99.9%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Aura cluster + API redundancy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Audit retention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90 days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 years (if regulatory)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Align with records management policy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RPO / RTO (graph)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24h / 8h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1h / 4h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Neo4j backup strategy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Concurrent agents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500+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Pilot vs. peak season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14. Key Performance Indicators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2000"/>
        <w:gridCol w:w="2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KPI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Baseline (Pre-Program)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MVP Target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Production Aspirational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Tier-1 contact deflection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Measure current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+10–15% relative on pilot families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+25–35% (validated post-scale)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Agent average handle time (escalated)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Measure current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−10–15%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−20–30%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Top-1 failure mode accuracy (curated tests)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N/A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≥75%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≥80–85% on governed catalog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Agent override rate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N/A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&lt;40%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&lt;25% as catalog matures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Escalation dossier completeness (provenance)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100%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100%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ETL success rate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N/A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≥98% weekly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≥99.5%</w:t>
            </w:r>
          </w:p>
        </w:tc>
      </w:tr>
    </w:tbl>
    <w:p>
      <w:pPr>
        <w:spacing w:after="200"/>
      </w:pPr>
    </w:p>
    <w:p>
      <w:pPr>
        <w:spacing w:after="120"/>
      </w:pPr>
      <w:r>
        <w:t xml:space="preserve">Note: deflection and AHT targets must be calibrated against your organization's baseline. Do not commit to executive targets until 4–6 weeks of MVP pilot data exist.</w:t>
      </w:r>
    </w:p>
    <w:p>
      <w:r>
        <w:br w:type="page"/>
      </w:r>
    </w:p>
    <w:p>
      <w:pPr>
        <w:pStyle w:val="Heading1"/>
      </w:pPr>
      <w:r>
        <w:t xml:space="preserve">15. Decision Gates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3600"/>
        <w:gridCol w:w="25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Timing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Go Criteria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No-Go Outcome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POC → MVP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Week 8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Accuracy ≥70%, agent dossier accepted by CC lead, CRM read proven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Pause; fix knowledge or integration approach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MVP → Production Program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Week 16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Override rate trending down, SSO pilot stable, ETL reliable 4 consecutive weeks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Extend MVP; do not scale catalog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regional rollout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Month 12+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80% accuracy on regional test pack, security sign-off, SRE ready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Limit region; expand when metrics support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16. Summary &amp; Recommended Next Steps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Week 0: Secure sponsor, allocate 5.5–6 FTE core team, confirm CRM sandbox access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Week 1: Ontology workshop + source matrix + provision Neo4j staging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Weeks 2–6: Build provenance-aware ETL, automate populate_graph, agent dossier UI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Weeks 7–8: SME validation, POC metrics, MVP business case with measured velocity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Weeks 9–16: MVP pilot — do not parallelize full 100-family catalog until pilot KPIs stabilize</w:t>
      </w:r>
    </w:p>
    <w:p>
      <w:pPr>
        <w:spacing w:after="120"/>
      </w:pPr>
      <w:r>
        <w:t xml:space="preserve">populate_graph.py remains the stable Load primitive throughout all phases. Enterprise differentiation comes from governed Extract/Transform, provenance, integrations, and knowledge engineering throughput — not from replacing the graph diagnosis pattern already demonstrated in this codebase.</w:t>
      </w:r>
    </w:p>
    <w:p>
      <w:pPr>
        <w:pStyle w:val="Heading1"/>
      </w:pPr>
      <w:r>
        <w:t xml:space="preserve">17. Document References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01-Architecture-and-Solution-Design.docx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02-Knowledge-Graph-Ontology-and-GraphRAG-Deep-Dive.docx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03-Beginners-Guide-Everything-Under-the-Hood.docx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04-Cypher-Query-Walkthrough-with-Diagrams.docx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Repository: graph/populate_graph.py, graph/enterprise_pipeline/pipeline.py, graph/graph_rag.py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666666"/>
        <w:sz w:val="18"/>
        <w:szCs w:val="18"/>
      </w:rPr>
      <w:t xml:space="preserve">Enterprise Diagnostics Platform — Implementation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20"/>
      <w:outlineLvl w:val="2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2026-06-25T04:51:15.910Z</dcterms:created>
  <dcterms:modified xsi:type="dcterms:W3CDTF">2026-06-25T04:51:15.915Z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