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Live Diagnostic Session — Technical Walkthrough</w:t>
      </w:r>
    </w:p>
    <w:p>
      <w:pPr>
        <w:spacing w:after="120"/>
      </w:pPr>
      <w:r>
        <w:t xml:space="preserve">Enterprise Diagnostics GraphRAG Platform — Document 09</w:t>
      </w:r>
    </w:p>
    <w:p>
      <w:pPr>
        <w:spacing w:after="120"/>
      </w:pPr>
      <w:r>
        <w:t xml:space="preserve">This document explains a live customer diagnostic session on the pilot platform (washer spin failure, two-turn conversation, CRM enrichment, warranty gate, 94% vs 47% confidence, escalation, and Service Cloud case handoff) and maps each outcome to the solution architecture, Neo4j knowledge graph, LangGraph workflow, and enterprise knowledge-engineering pipelines.</w:t>
      </w:r>
    </w:p>
    <w:p>
      <w:pPr>
        <w:spacing w:after="200"/>
      </w:pP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Enterprise demo stack running (./run_enterprise_demo.sh)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Knowledge graph loaded via ETL orchestrator with provenance enabled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 fixture customer CUST-10042 and asset AST-WM-4421 available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Familiarity with Documents 01, 02, and 07 for architecture and pipeline context</w:t>
      </w:r>
    </w:p>
    <w:p>
      <w:pPr>
        <w:spacing w:after="200"/>
      </w:pPr>
    </w:p>
    <w:p>
      <w:pPr>
        <w:pStyle w:val="Heading2"/>
      </w:pPr>
      <w: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Session 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ui/app.py Streamlit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chat + CRM binding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agents/diagnosis_graph.py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 → diagnose → format → escalate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graph/graph_rag.py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Symptom match, failure rank, 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Authoritative diagnostic knowledge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integrations/crm_enrichment.py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Pre-bind product from asset registry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integrations/warranty_eligibility.py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Eligibility gate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Handoff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integrations/case_management.py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 to simulated CCaaS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Two-turn washer session demonstrates confidence dilution (94% → 47%)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 1 resolves without escalation; Turn 2 escalates below 65% threshold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Provenance trail visible in UI expanders maps to PIM/FSM/Claims/CRM 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Figures 15–18 in docs/graphviz/rendered/png/ accompany this walkthrough</w:t>
      </w:r>
    </w:p>
    <w:p>
      <w:pPr>
        <w:spacing w:after="200"/>
      </w:pPr>
    </w:p>
    <w:p>
      <w:pPr>
        <w:pStyle w:val="Heading2"/>
      </w:pPr>
      <w:r>
        <w:t xml:space="preserve">Risk Mitigation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Warranty gate prevents diagnosis on ineligible assets before graph query cost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symptoms would bypass confidence — washer scenario uses high/medium severity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 payload includes full provenance for agent review — no information loss at handoff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Smoke validation pipeline prevents regression in failure-mode ranking after ETL changes</w:t>
      </w:r>
    </w:p>
    <w:p>
      <w:pPr>
        <w:spacing w:after="200"/>
      </w:pPr>
    </w:p>
    <w:p>
      <w:pPr>
        <w:pStyle w:val="Heading2"/>
      </w:pPr>
      <w: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 indicator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Business 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Connected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Authoritative knowledge graph available for GraphRAG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 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enterprise integration path enabled (CRM · PIM · FSM · Claims)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Services Online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Integration Layer (sandbox) serving representative APIs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Escalations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Cases requiring human agent review with full graph context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The live session comprised two customer turns on registered asset AST-WM-4421. Turn 1 achieved automated resolution at 94% confidence. Turn 2 introduced a second symptom, reducing aggregate confidence to 47% and triggering governed escalation with case-management handoff.</w:t>
      </w:r>
    </w:p>
    <w:p>
      <w:r>
        <w:br w:type="page"/>
      </w:r>
    </w:p>
    <w:p>
      <w:pPr>
        <w:pStyle w:val="Heading2"/>
      </w:pPr>
      <w:r>
        <w:t xml:space="preserve">2. Current State vs Future State (Swimlanes)</w:t>
      </w:r>
    </w:p>
    <w:p>
      <w:pPr>
        <w:spacing w:after="120"/>
      </w:pPr>
      <w:r>
        <w:t xml:space="preserve">Figure 15 shows the POC / pilot architecture with an Enterprise Integration Layer (sandbox) connecting representative enterprise services to the diagnostics platform.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15-current-state-swimlane.png" descr="Figure 15: Current state swimlane — POC / pilot platform" title="Figure 15: Current state swimlane — POC / pilot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15: Current state swimlane — POC / pilot platform</w:t>
      </w:r>
    </w:p>
    <w:p>
      <w:pPr>
        <w:spacing w:after="120"/>
      </w:pPr>
      <w:r>
        <w:t xml:space="preserve">Figure 16 shows the target production architecture with authoritative systems, governed ETL, and production Neo4j.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16-future-state-swimlane.png" descr="Figure 16: Future state swimlane — target production" title="Figure 16: Future state swimlane — target p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16: Future state swimlane — target production</w:t>
      </w:r>
    </w:p>
    <w:p>
      <w:pPr>
        <w:spacing w:after="120"/>
      </w:pPr>
      <w:r>
        <w:t xml:space="preserve">Figure 17 traces your live washer session across functional swimlanes — customer, CRM, platform, knowledge graph, and agent operations.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000500"/>
            <wp:effectExtent t="0" r="0" b="0" l="0"/>
            <wp:docPr id="1" name="17-live-session-swimlane.png" descr="Figure 17: Live session swimlane — two customer turns" title="Figure 17: Live session swimlane — two customer tur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17: Live session swimlane — two customer turns</w:t>
      </w:r>
    </w:p>
    <w:p>
      <w:pPr>
        <w:spacing w:after="120"/>
      </w:pPr>
      <w:r>
        <w:t xml:space="preserve">Figure 18 separates batch knowledge engineering from runtime diagnosis — the operational boundary stakeholders care about for SLA and governance.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048000"/>
            <wp:effectExtent t="0" r="0" b="0" l="0"/>
            <wp:docPr id="1" name="18-etl-runtime-swimlane.png" descr="Figure 18: ETL &amp; governance vs runtime diagnosis swimlane" title="Figure 18: ETL &amp; governance vs runtime diagnosis swim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18: ETL &amp; governance vs runtime diagnosis swimlane</w:t>
      </w:r>
    </w:p>
    <w:p>
      <w:pPr>
        <w:spacing w:after="200"/>
      </w:pPr>
    </w:p>
    <w:p>
      <w:pPr>
        <w:pStyle w:val="Heading2"/>
      </w:pPr>
      <w:r>
        <w:t xml:space="preserve">3. System Context &amp; Module Map</w:t>
      </w:r>
    </w:p>
    <w:p>
      <w:pPr>
        <w:spacing w:after="120"/>
      </w:pPr>
      <w:r>
        <w:t xml:space="preserve">Figure 1 shows where the diagnostics platform sits relative to enterprise systems and operators.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572000"/>
            <wp:effectExtent t="0" r="0" b="0" l="0"/>
            <wp:docPr id="1" name="01-system-context.png" descr="Figure 1: Enterprise system context (C4-style)" title="Figure 1: Enterprise system context (C4-sty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1: Enterprise system context (C4-style)</w:t>
      </w:r>
    </w:p>
    <w:p>
      <w:pPr>
        <w:spacing w:after="120"/>
      </w:pPr>
      <w:r>
        <w:t xml:space="preserve">Figure 2 maps Python modules to functional responsibilities.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381500"/>
            <wp:effectExtent t="0" r="0" b="0" l="0"/>
            <wp:docPr id="1" name="02-module-block.png" descr="Figure 2: Module block diagram" title="Figure 2: Module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2: Module block diagram</w:t>
      </w:r>
    </w:p>
    <w:p>
      <w:pPr>
        <w:pStyle w:val="Heading3"/>
      </w:pPr>
      <w:r>
        <w:t xml:space="preserve">Technology stack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 in live session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ui/app.py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Self-service channel, CRM binding, agent console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agents/diagnosis_graph.py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Governed diagnosis workflow per message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+ 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graph/graph_rag.py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Evidence-based Cypher retrieval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5.x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graph/neo4j_client.py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wm-001 ontology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sandbox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simulation/mock_enterprise_apps.py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Representative CRM / Claims / CCaaS APIs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integrations/*.py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enrichment, warranty gate, case handoff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pipelines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graph/enterprise_pipeline/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load before runtime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JSONL lineage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utils/lineage_store.py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 governance trail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 Knowledge Engineering — How the Graph Was Built</w:t>
      </w:r>
    </w:p>
    <w:p>
      <w:pPr>
        <w:spacing w:after="120"/>
      </w:pPr>
      <w:r>
        <w:t xml:space="preserve">Before your chat session, the orchestrator ran three pipelines to build the Neo4j knowledge graph.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762500"/>
            <wp:effectExtent t="0" r="0" b="0" l="0"/>
            <wp:docPr id="1" name="14-etl-to-runtime.png" descr="Figure 14: ETL pipelines to runtime diagnosis" title="Figure 14: ETL pipelines to runtime diagn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14: ETL pipelines to runtime diagnosis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191000"/>
            <wp:effectExtent t="0" r="0" b="0" l="0"/>
            <wp:docPr id="1" name="06-etl-pipeline.png" descr="Figure 6: Knowledge ETL pipeline detail" title="Figure 6: Knowledge ETL pipeline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6: Knowledge ETL pipeline detail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Pipeline 1 knowledge_etl — PIM + FSM + Claims + CRM connectors → OntologyBuilder → JSON catalog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populate_graph.py — MERGE nodes with source_system, source_record_id provenance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Pipeline 2 smoke_validation — regression scenarios gate promotion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Pipeline 3 staging_promotion — load validated catalog to Neo4j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lineage_store.py — each step logged to data/lineage/etl_batches.jsonl</w:t>
      </w:r>
    </w:p>
    <w:p>
      <w:pPr>
        <w:spacing w:after="200"/>
      </w:pPr>
    </w:p>
    <w:p>
      <w:pPr>
        <w:pStyle w:val="Heading2"/>
      </w:pPr>
      <w:r>
        <w:t xml:space="preserve">5. Neo4j Ontology — Live Session Data Model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572000"/>
            <wp:effectExtent t="0" r="0" b="0" l="0"/>
            <wp:docPr id="1" name="05-neo4j-ontology.png" descr="Figure 5: Neo4j ontology (nodes and relationships)" title="Figure 5: Neo4j ontology (nodes and relationshi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5: Neo4j ontology (nodes and relationships)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000500"/>
            <wp:effectExtent t="0" r="0" b="0" l="0"/>
            <wp:docPr id="1" name="13-demo-response-field-map.png" descr="Figure 13: Response fields → graph entities → enterprise sources" title="Figure 13: Response fields → graph entities → enterprise 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13: Response fields → graph entities → enterprise sources</w:t>
      </w:r>
    </w:p>
    <w:p>
      <w:pPr>
        <w:spacing w:after="120"/>
      </w:pPr>
      <w:r>
        <w:t xml:space="preserve">Every field in the diagnostic response maps to a governed graph entity ingested from an authoritative 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Neo4j 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 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Live session 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wm-001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 Load Washing Machine 8kg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Matched Symptoms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Symptom wm-s01, wm-s02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FMEA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manuals/wm-001/symptoms.pdf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FailureMode wm-fm01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FMEA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fmea/wm-001/wm-fm01.pdf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DiagnosticStep wm-d01..d04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ServiceManual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troubleshooting.pdf#step=N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 Resolutions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FSM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CLM-2026-00481, WO-FSM-88104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catalog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 Belt Assembly AH-DB-8842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enrichment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(sandbox)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Jane Martinez, AST-WM-4421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Warranty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+ Claims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WP-STANDARD-24M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6. CRM &amp; Warranty — Pre-Diagnosis Enrichment</w:t>
      </w:r>
    </w:p>
    <w:p>
      <w:pPr>
        <w:spacing w:after="120"/>
      </w:pPr>
      <w:r>
        <w:t xml:space="preserve">Note: Customer dropdown showed Robert Chen while asset AST-WM-4421 was selected. Asset ID takes priority — the platform correctly resolved Jane Martinez as the registered owner.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12-streamlit-enterprise-layers.png" descr="Figure 12: Platform layer stack — self-service channel" title="Figure 12: Platform layer stack — self-service cha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12: Platform layer stack — self-service channel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ui/app.py invokes enrich_session_from_crm(asset_id=AST-WM-4421)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integrations/crm_enrichment.py queries Enterprise Integration Layer — CRM assets endpoint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Returns Jane Martinez (actual asset owner), product wm-001, warranty active until 2027-06-15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integrations/warranty_eligibility.py checks status + Claims policies → eligible=true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product_id passed to run_diagnosis() — skips keyword auto-detect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product_id = CRM asset product OR appliance dropdown OR detect_product(message)</w:t>
      </w:r>
    </w:p>
    <w:p>
      <w:pPr>
        <w:spacing w:after="200"/>
      </w:pPr>
    </w:p>
    <w:p>
      <w:pPr>
        <w:pStyle w:val="Heading2"/>
      </w:pPr>
      <w:r>
        <w:t xml:space="preserve">7. LangGraph Workflow — Per Customer Message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03-langgraph-workflow.png" descr="Figure 3: LangGraph diagnosis workflow" title="Figure 3: LangGraph diagnosis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3: LangGraph diagnosis workflow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191000"/>
            <wp:effectExtent t="0" r="0" b="0" l="0"/>
            <wp:docPr id="1" name="08-runtime-sequence.png" descr="Figure 8: Runtime request sequence" title="Figure 8: Runtime request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8: Runtime request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 in live 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detect_product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agents/diagnosis_graph.py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Kept wm-001 from CRM (message already product-specific)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run_diagnosis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agents/tools.py → graph_rag.py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Executed full GraphRAG Cypher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format_response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graph_rag.py format_diagnosis_response()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 markdown with evidence + provenance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handle_escalation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utils/escalation_store.py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 2 only: saved case 231311d2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8. GraphRAG — Turn-by-Turn Diagnosis Logic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5334000"/>
            <wp:effectExtent t="0" r="0" b="0" l="0"/>
            <wp:docPr id="1" name="10-demo-session-turn-flow.png" descr="Figure 10: Live session two-turn diagnosis flow" title="Figure 10: Live session two-turn diagnosis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10: Live session two-turn diagnosis flow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04-graphrag-diagnosis.png" descr="Figure 4: GraphRAG diagnose() internal flow" title="Figure 4: GraphRAG diagnose() internal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4: GraphRAG diagnose() internal flow</w:t>
      </w:r>
    </w:p>
    <w:p>
      <w:pPr>
        <w:pStyle w:val="Heading3"/>
      </w:pPr>
      <w:r>
        <w:t xml:space="preserve">Turn 1: Machine does not spin during the final cycle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match_symptoms: 1 match — wm-s01 (Machine does not spin…) score 1.0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rank_failure_modes: wm-fm01 Worn Drive Belt, INDICATES confidence 0.94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aggregate_confidence = 0.94 ÷ 1 symptom = 94%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 gate: 94% ≥ 65% threshold, no critical symptoms → should_escalate=false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Status: Resolved at automated tier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provenance_trail: 5 entries (Symptom, FailureMode, 2 Steps, 1 Resolution)</w:t>
      </w:r>
    </w:p>
    <w:p>
      <w:pPr>
        <w:pStyle w:val="Heading3"/>
      </w:pPr>
      <w:r>
        <w:t xml:space="preserve">Turn 2: It also makes a loud grinding noise when it tries to spin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match_symptoms: 2 matches — wm-s02 vibration (0.71) + wm-s01 spin (0.45)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rank_failure_modes: wm-fm01 still #1 (total_confidence 0.94 from wm-s01 link 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aggregate_confidence = 0.94 ÷ 2 symptoms = 47%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 gate: 47% &lt; 65% → should_escalate=true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escalation_store saved case 231311d2 → Open Escalations count increased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case_management POST → Service Cloud case CASE-4B881382 (integration sandbox)</w:t>
      </w:r>
    </w:p>
    <w:p>
      <w:pPr>
        <w:spacing w:after="200"/>
      </w:pPr>
    </w:p>
    <w:p>
      <w:pPr>
        <w:pStyle w:val="Heading3"/>
      </w:pPr>
      <w:r>
        <w:t xml:space="preserve">Why confidence dropped from 94% to 47%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11-confidence-dilution-model.png" descr="Figure 11: Confidence dilution model" title="Figure 11: Confidence dilutio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11: Confidence dilution model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810000"/>
            <wp:effectExtent t="0" r="0" b="0" l="0"/>
            <wp:docPr id="1" name="07-escalation-decision.png" descr="Figure 7: Escalation decision logic" title="Figure 7: Escalation decision 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7: Escalation decision logic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aggregate_confidence = total_confidence / max(len(symptom_ids), 1)  # graph/graph_rag.py</w:t>
      </w:r>
    </w:p>
    <w:p>
      <w:pPr>
        <w:spacing w:after="120"/>
      </w:pPr>
      <w:r>
        <w:t xml:space="preserve">The top failure mode did not change — Worn Drive Belt remained #1. What changed was the denominator: adding a second matched symptom divides the same graph evidence across more symptoms, lowering aggregate confidence below the 0.65 ESCALATION_CONFIDENCE_THRESHOLD in config/settings.py.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9. Response Payload — Field-by-Field Explanation</w:t>
      </w:r>
    </w:p>
    <w:p>
      <w:pPr>
        <w:pStyle w:val="Heading3"/>
      </w:pPr>
      <w:r>
        <w:t xml:space="preserve">Matched Symptoms</w:t>
      </w:r>
    </w:p>
    <w:p>
      <w:pPr>
        <w:spacing w:after="120"/>
      </w:pPr>
      <w:r>
        <w:t xml:space="preserve">Neo4j query HAS_SYMPTOM + Python _text_similarity() with SYNONYMS expansion. Turn 2 added wm-s02 (medium severity).</w:t>
      </w:r>
    </w:p>
    <w:p>
      <w:pPr>
        <w:pStyle w:val="Heading3"/>
      </w:pPr>
      <w:r>
        <w:t xml:space="preserve">Ranked Failure Modes</w:t>
      </w:r>
    </w:p>
    <w:p>
      <w:pPr>
        <w:spacing w:after="120"/>
      </w:pPr>
      <w:r>
        <w:t xml:space="preserve">Cypher aggregates INDICATES edge confidence per failure mode. wm-fm03 also linked to wm-s02 (0.85) but ranked lower overall.</w:t>
      </w:r>
    </w:p>
    <w:p>
      <w:pPr>
        <w:pStyle w:val="Heading3"/>
      </w:pPr>
      <w:r>
        <w:t xml:space="preserve">Diagnostic Steps</w:t>
      </w:r>
    </w:p>
    <w:p>
      <w:pPr>
        <w:spacing w:after="120"/>
      </w:pPr>
      <w:r>
        <w:t xml:space="preserve">HAS_DIAGNOSTIC_STEP relationship — ordered troubleshooting from service manual ETL.</w:t>
      </w:r>
    </w:p>
    <w:p>
      <w:pPr>
        <w:pStyle w:val="Heading3"/>
      </w:pPr>
      <w:r>
        <w:t xml:space="preserve">Historical Resolutions</w:t>
      </w:r>
    </w:p>
    <w:p>
      <w:pPr>
        <w:spacing w:after="120"/>
      </w:pPr>
      <w:r>
        <w:t xml:space="preserve">FSM closed work orders and claims merged at ETL. WO-FSM-88104 and wm-r01 confirm past belt replacements.</w:t>
      </w:r>
    </w:p>
    <w:p>
      <w:pPr>
        <w:pStyle w:val="Heading3"/>
      </w:pPr>
      <w:r>
        <w:t xml:space="preserve">Provenance Trail</w:t>
      </w:r>
    </w:p>
    <w:p>
      <w:pPr>
        <w:spacing w:after="120"/>
      </w:pPr>
      <w:r>
        <w:t xml:space="preserve">graph/provenance.py builds audit lines when ENABLE_PROVENANCE=true. Shown in UI expander and Source Traceability section.</w:t>
      </w:r>
    </w:p>
    <w:p>
      <w:pPr>
        <w:pStyle w:val="Heading3"/>
      </w:pPr>
      <w:r>
        <w:t xml:space="preserve">CRM Context JSON</w:t>
      </w:r>
    </w:p>
    <w:p>
      <w:pPr>
        <w:spacing w:after="120"/>
      </w:pPr>
      <w:r>
        <w:t xml:space="preserve">Runtime enrichment only — not stored in Neo4j. Binds session to registered asset and warranty metadata.</w:t>
      </w:r>
    </w:p>
    <w:p>
      <w:pPr>
        <w:spacing w:after="200"/>
      </w:pPr>
    </w:p>
    <w:p>
      <w:pPr>
        <w:pStyle w:val="Heading2"/>
      </w:pPr>
      <w:r>
        <w:t xml:space="preserve">10. Escalation &amp; Case Management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Artifact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Operational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escalation dossier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data/escalations.json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231311d2 — Human Agent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Cloud case record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data/simulated_cases.json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CASE-4B881382 — Case Management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Escalations 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ui/app.py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agent workload indicator</w:t>
            </w:r>
          </w:p>
        </w:tc>
      </w:tr>
    </w:tbl>
    <w:p>
      <w:pPr>
        <w:spacing w:after="120"/>
      </w:pPr>
      <w:r>
        <w:t xml:space="preserve">Escalation triggers (any one fires):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unknown (not in your session)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matched symptom severity = critical (not in washer turns)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aggregate_confidence &lt; 0.65 (Turn 2 — this fired)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11. Target Production Architecture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572000"/>
            <wp:effectExtent t="0" r="0" b="0" l="0"/>
            <wp:docPr id="1" name="09-enterprise-production.png" descr="Figure 9: Target production deployment pattern" title="Figure 9: Target production deployment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9: Target production deployment pattern</w:t>
      </w:r>
    </w:p>
    <w:p>
      <w:pPr>
        <w:pStyle w:val="Heading2"/>
      </w:pPr>
      <w:r>
        <w:t xml:space="preserve">12. Platform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Self-Service 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localhost:8501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&amp; agent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Diagnostics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localhost:8080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Omnichannel integration surface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Integration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localhost:8090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· Claims · Case Management (sandbox)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Bolt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localhost:7687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GraphRAG Cypher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Browser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localhost:7474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graph inspection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 lineage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data/lineage/etl_batches.jsonl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Systems tab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13. Graphviz Source Files</w:t>
      </w:r>
    </w:p>
    <w:p>
      <w:pPr>
        <w:pStyle w:val="Heading3"/>
      </w:pPr>
      <w:r>
        <w:t xml:space="preserve">Graphviz: 15-current-state-swimlane.dot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// Figure 15: Current State — POC / Pilot Architecture (swimlanes)
digraph CurrentStateSwimlane {
  graph [
    rankdir=LR
    splines=line
    nodesep=0.35
    ranksep=1.2
    label="Figure 15: Current State Swimlane — POC / Pilot Platform"
    labelloc=t
    fontsize=14
    fontname="Arial"
    bgcolor="white"
  ]
  node [shape=box, style="rounded,filled", fontname="Arial", fontsize=9, width=2.2]
  edge [fontname="Arial", fontsize=8, color="#2E75B6"]
  subgraph cluster_ch {
    label="Customer &amp; Agent Channels"
    bgcolor="#D5E8F0"
    style="filled,rounded"
    CH1 [label="Describes\nappliance issue"]
    CH2 [label="Receives\ndiagnosis"]
    CH3 [label="Escalation &amp;\ncase reference"]
    CH1 -&gt; CH2 -&gt; CH3 [style=invis]
  }
  subgraph cluster_ui {
    label="Presentation Layer"
    bgcolor="#BDD7EE"
    style="filled,rounded"
    UI1 [label="Self-Service &amp;\nAgent Console"]
    UI2 
// ...</w:t>
      </w:r>
    </w:p>
    <w:p>
      <w:pPr>
        <w:pStyle w:val="Heading3"/>
      </w:pPr>
      <w:r>
        <w:t xml:space="preserve">Graphviz: 16-future-state-swimlane.dot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// Figure 16: Future State — Target Production Architecture (swimlanes)
digraph FutureStateSwimlane {
  graph [
    rankdir=TB
    splines=ortho
    nodesep=0.5
    ranksep=0.45
    label="Figure 16: Future State Swimlane — Target Production Architecture"
    labelloc=t
    fontsize=14
    fontname="Arial"
    bgcolor="white"
  ]
  node [shape=box, style="rounded,filled", fontname="Arial", fontsize=9, width=2.5, height=0.55]
  edge [fontname="Arial", fontsize=8, color="#548235"]
  subgraph cluster_ch {
    label="Omnichannel Customer &amp; Agent"
    bgcolor="#D5E8F0"
    style="filled,rounded"
    CH1 [label="Web · Mobile · IVR ·\nAgent Desktop"]
    CH2 [label="Authenticated customer\n&amp; asset context"]
  }
  subgraph cluster_api {
    label="Diagnostics Platform — API Tier"
    bgcolor="#BDD7EE"
    style="filled,rounded"
    API1 [label="FastAPI / API Gateway\nrate limit · auth · audit"
// ...</w:t>
      </w:r>
    </w:p>
    <w:p>
      <w:pPr>
        <w:pStyle w:val="Heading3"/>
      </w:pPr>
      <w:r>
        <w:t xml:space="preserve">Graphviz: 17-live-session-swimlane.dot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// Figure 17: Live washer session — cross-functional swimlane (two customer turns)
digraph LiveSessionSwimlane {
  graph [
    rankdir=TB
    splines=ortho
    nodesep=0.45
    ranksep=0.4
    label="Figure 17: Live Session Swimlane — Washer Diagnosis (Two Customer Turns)"
    labelloc=t
    fontsize=14
    fontname="Arial"
    bgcolor="white"
  ]
  node [shape=box, style="rounded,filled", fontname="Arial", fontsize=9, width=2.3, height=0.5]
  edge [fontname="Arial", fontsize=8]
  subgraph cluster_cust {
    label="Customer"
    bgcolor="#D5E8F0"
    style="filled,rounded"
    T1 [label="Turn 1:\n'Machine does not spin…'"]
    T2 [label="Turn 2:\n'Grinding noise when spinning'"]
    T3 [label="Receives case IDs\non escalation"]
  }
  subgraph cluster_crm {
    label="CRM &amp; Warranty Services"
    bgcolor="#FFF2CC"
    style="filled,rounded"
    CRM1 [label="Asset AST-WM-4421\n→ Jane Mar
// ...</w:t>
      </w:r>
    </w:p>
    <w:p>
      <w:pPr>
        <w:pStyle w:val="Heading3"/>
      </w:pPr>
      <w:r>
        <w:t xml:space="preserve">Graphviz: 18-etl-runtime-swimlane.dot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// Figure 18: Batch knowledge engineering vs runtime diagnosis (swimlanes)
digraph ETLRuntimeSwimlane {
  graph [
    rankdir=LR
    splines=ortho
    nodesep=0.4
    ranksep=0.6
    label="Figure 18: ETL &amp; Governance vs Runtime Diagnosis Swimlane"
    labelloc=t
    fontsize=14
    fontname="Arial"
    bgcolor="white"
  ]
  node [shape=box, style="rounded,filled", fontname="Arial", fontsize=9]
  edge [fontname="Arial", fontsize=8, color="#4472C4"]
  subgraph cluster_src {
    label="Authoritative Source Systems"
    bgcolor="#EDEDED"
    style="filled,rounded"
    PIM [label="PIM / PLM"]
    FSM [label="FSM"]
    CLM [label="Claims"]
    CRM [label="CRM"]
  }
  subgraph cluster_batch {
    label="Batch — Knowledge Engineering"
    bgcolor="#E2EFDA"
    style="filled,rounded"
    ETL [label="Knowledge ETL\nconnectors + ontology"]
    VAL [label="Smoke validation\ngate"]
    PROM [label
// ...</w:t>
      </w:r>
    </w:p>
    <w:p>
      <w:pPr>
        <w:spacing w:after="120"/>
      </w:pPr>
      <w:r>
        <w:t xml:space="preserve">All diagrams are version-controlled in docs/graphviz/*.dot. Render with: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bash docs/graphviz/render_all.sh</w:t>
      </w:r>
    </w:p>
    <w:p>
      <w:pPr>
        <w:pStyle w:val="Heading3"/>
      </w:pPr>
      <w:r>
        <w:t xml:space="preserve">Graphviz: 10-demo-session-turn-flow.dot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// Figure 10: Demo session — two-turn washer flow (Streamlit → LangGraph → GraphRAG → Neo4j)
digraph DemoSessionTurnFlow {
  graph [
    rankdir=TB
    label="Figure 10: Live Session — Two-Turn Washer Diagnosis Flow"
    labelloc=t
    fontsize=14
    fontname="Arial"
    bgcolor="white"
    nodesep=0.35
  ]
  node [fontname="Arial", fontsize=10]
  edge [fontname="Arial", fontsize=9]
  subgraph cluster_turn1 {
    label="Turn 1: Single symptom — 94% confidence — NO escalation"
    style=rounded
    color="#2E75B6"
    fontcolor="#2E75B6"
    T1_IN [label="Customer message\n'Machine does not spin during the final cycle'", shape=box, style="rounded,filled", fillcolor="#D5E8F0"]
    T1_CRM [label="CRM enrich (asset AST-WM-4421)\n→ product_id wm-001\n→ Jane Martinez\nWarranty: eligible", shape=box, style="rounded,filled", fillcolor="#FFF2CC"]
    T1_LG [label="LangGraph\nrun_diagnosis()", 
// ...</w:t>
      </w:r>
    </w:p>
    <w:p>
      <w:pPr>
        <w:pStyle w:val="Heading3"/>
      </w:pPr>
      <w:r>
        <w:t xml:space="preserve">Graphviz: 11-confidence-dilution-model.dot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// Figure 11: Confidence dilution — why 94% becomes 47% with two symptoms
digraph ConfidenceDilution {
  graph [
    rankdir=LR
    label="Figure 11: Confidence Dilution Model (graph/graph_rag.py rank_failure_modes)"
    labelloc=t
    fontsize=14
    fontname="Arial"
    bgcolor="white"
  ]
  node [fontname="Arial", fontsize=10]
  edge [fontname="Arial", fontsize=9]
  Formula [label="aggregate_confidence =\ntotal_confidence ÷ max(len(symptom_ids), 1)", shape=box, style="rounded,filled", fillcolor="#FFF2CC"]
  subgraph cluster_t1 {
    label="Turn 1 — 1 matched symptom"
    style=dashed
    S1 [label="symptom_ids = [wm-s01]", shape=box, fillcolor="#E2EFDA"]
    E1 [label="Cypher: (wm-s01)-[INDICATES 0.94]-&gt;(wm-fm01)\ntotal_confidence = 0.94", shape=box, fillcolor="#E2EFDA"]
    R1 [label="0.94 ÷ 1 = 0.94 (94%)\nshould_escalate = false", shape=box, style="rounded,filled", fillcolor="#C6
// ...</w:t>
      </w:r>
    </w:p>
    <w:p>
      <w:pPr>
        <w:pStyle w:val="Heading3"/>
      </w:pPr>
      <w:r>
        <w:t xml:space="preserve">Graphviz: 12-streamlit-enterprise-layers.dot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// Figure 12: Streamlit UI enterprise layer stack (ui/app.py)
digraph StreamlitEnterpriseLayers {
  graph [
    rankdir=TB
    label="Figure 12: Platform Layer Stack — Self-Service Channel (ui/app.py)"
    labelloc=t
    fontsize=14
    fontname="Arial"
    bgcolor="white"
  ]
  node [shape=box, style="rounded,filled", fontname="Arial", fontsize=10]
  edge [fontname="Arial", fontsize=9]
  UI [label="Streamlit ui/app.py\nCustomer Chatbot tab", fillcolor="#BDD7EE"]
  CRM [label="integrations/crm_enrichment.py\nGET mock :8090/api/crm/assets/{id}\nfixture fallback", fillcolor="#FFF2CC"]
  WAR [label="integrations/warranty_eligibility.py\nCRM status + Claims policies\nWP-STANDARD-24M", fillcolor="#FFF2CC"]
  GATE [label="Warranty gate\nif not eligible → block diagnosis", shape=diamond, fillcolor="#FCE4D6"]
  LG [label="agents/diagnosis_graph.py\nLangGraph StateGraph", fillcolor="#C6E0B4"]
// ...</w:t>
      </w:r>
    </w:p>
    <w:p>
      <w:pPr>
        <w:pStyle w:val="Heading3"/>
      </w:pPr>
      <w:r>
        <w:t xml:space="preserve">Graphviz: 13-demo-response-field-map.dot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// Figure 13: Demo response fields mapped to knowledge graph entities and source systems
digraph DemoResponseFieldMap {
  graph [
    rankdir=LR
    label="Figure 13: Diagnostic Response Fields → Neo4j Entities → Enterprise Sources"
    labelloc=t
    fontsize=14
    fontname="Arial"
    bgcolor="white"
  ]
  node [fontname="Arial", fontsize=10]
  edge [fontname="Arial", fontsize=9, color="#4472C4"]
  subgraph cluster_ui {
    label="UI Response Sections"
    style=rounded
    color="#2E75B6"
    R_PROD [label="Product:\nFront Load Washing Machine 8kg", shape=box, fillcolor="#D5E8F0"]
    R_SYM [label="Matched Symptoms\nwm-s01, wm-s02", shape=box, fillcolor="#D5E8F0"]
    R_FM [label="Failure Mode\nWorn Drive Belt wm-fm01", shape=box, fillcolor="#D5E8F0"]
    R_STEP [label="Diagnostic Steps\nwm-d01..d04", shape=box, fillcolor="#D5E8F0"]
    R_RES [label="Past Resolutions\nCLM-2026-00481
// ...</w:t>
      </w:r>
    </w:p>
    <w:p>
      <w:pPr>
        <w:pStyle w:val="Heading3"/>
      </w:pPr>
      <w:r>
        <w:t xml:space="preserve">Graphviz: 14-etl-to-runtime.dot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// Figure 14: ETL pipelines to runtime diagnosis (batch load → live query)
digraph ETLToRuntime {
  graph [
    rankdir=TB
    label="Figure 14: Enterprise ETL Pipelines → Neo4j → Runtime Diagnosis"
    labelloc=t
    fontsize=14
    fontname="Arial"
    bgcolor="white"
  ]
  node [fontname="Arial", fontsize=10]
  edge [fontname="Arial", fontsize=9]
  subgraph cluster_sources {
    label="Enterprise Sources (:8090 mock or fixtures)"
    style=rounded
    PIM [label="PIM Connector", shape=box, fillcolor="#FFF2CC"]
    FSM [label="FSM Connector", shape=box, fillcolor="#FFF2CC"]
    CLM [label="Claims Connector", shape=box, fillcolor="#FFF2CC"]
    CRM [label="CRM Connector", shape=box, fillcolor="#FFF2CC"]
  }
  P1 [label="Pipeline 1: knowledge_etl.py\nOntologyBuilder → enterprise_knowledge_catalog.json", shape=box, style="rounded,filled", fillcolor="#BDD7EE"]
  POP [label="populate_grap
// ...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Live Diagnostic Session — Technical Walkthrough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d7b9193ee900f51cc4481d3ef6a3fbc92d3ced.png"/><Relationship Id="rId10" Type="http://schemas.openxmlformats.org/officeDocument/2006/relationships/image" Target="media/dcb36c1ab08439165c9a8639518ea7a15cfb6d16.png"/><Relationship Id="rId11" Type="http://schemas.openxmlformats.org/officeDocument/2006/relationships/image" Target="media/8fffc29ddcfc8f88639c005442d542f1e4f1edd2.png"/><Relationship Id="rId12" Type="http://schemas.openxmlformats.org/officeDocument/2006/relationships/image" Target="media/125eda86cf4568d57d692399f9fc01a8b3562c97.png"/><Relationship Id="rId13" Type="http://schemas.openxmlformats.org/officeDocument/2006/relationships/image" Target="media/240196e4021512769c8df677d61b56e5281b7be4.png"/><Relationship Id="rId14" Type="http://schemas.openxmlformats.org/officeDocument/2006/relationships/image" Target="media/b894c0ecc9f2760a1c1002f66f7956d0584734cd.png"/><Relationship Id="rId15" Type="http://schemas.openxmlformats.org/officeDocument/2006/relationships/image" Target="media/a35576342fe127e084235aea608a80a1698e5b5a.png"/><Relationship Id="rId16" Type="http://schemas.openxmlformats.org/officeDocument/2006/relationships/image" Target="media/418e97d0280b3f4a03a480bc27ccf8b70bf2c24f.png"/><Relationship Id="rId17" Type="http://schemas.openxmlformats.org/officeDocument/2006/relationships/image" Target="media/26f8a228c414abb40b9f4b97a4933903bb398de2.png"/><Relationship Id="rId18" Type="http://schemas.openxmlformats.org/officeDocument/2006/relationships/image" Target="media/70e5bf02ff679f2d0dfb3f3cbb05d03c5d04fbd7.png"/><Relationship Id="rId19" Type="http://schemas.openxmlformats.org/officeDocument/2006/relationships/image" Target="media/21d78d912dc6ffde95c77a5b9746f2a9780d6e75.png"/><Relationship Id="rId20" Type="http://schemas.openxmlformats.org/officeDocument/2006/relationships/image" Target="media/74822f2f3b616032a24d18cc11c754192cde187c.png"/><Relationship Id="rId21" Type="http://schemas.openxmlformats.org/officeDocument/2006/relationships/image" Target="media/0268a390655fa9ce9e92cd71f6c96dfd58a336ec.png"/><Relationship Id="rId22" Type="http://schemas.openxmlformats.org/officeDocument/2006/relationships/image" Target="media/766de75afbea4e06d53db50492c8c8ee6dd9d2ed.png"/><Relationship Id="rId23" Type="http://schemas.openxmlformats.org/officeDocument/2006/relationships/image" Target="media/19921361da5c14b588b8b0fa33206eb4489db412.png"/><Relationship Id="rId24" Type="http://schemas.openxmlformats.org/officeDocument/2006/relationships/image" Target="media/9dcc7b9833d05f6161b74aa6ba3f997544aec3ca.png"/><Relationship Id="rId25" Type="http://schemas.openxmlformats.org/officeDocument/2006/relationships/image" Target="media/b7b98fe294557f2913a3e66a9e5595c56b4c03ed.png"/><Relationship Id="rId26" Type="http://schemas.openxmlformats.org/officeDocument/2006/relationships/image" Target="media/dfb267aae1c2636786b590cecba48c651826b965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2026-06-25T12:18:49.594Z</dcterms:created>
  <dcterms:modified xsi:type="dcterms:W3CDTF">2026-06-25T12:18:49.595Z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