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24951" w14:textId="77777777" w:rsidR="0001412B" w:rsidRPr="00C42506" w:rsidRDefault="000111D7" w:rsidP="001373F3">
      <w:pPr>
        <w:pStyle w:val="ListParagraph"/>
        <w:numPr>
          <w:ilvl w:val="0"/>
          <w:numId w:val="4"/>
        </w:numPr>
        <w:spacing w:before="100" w:beforeAutospacing="1" w:after="100" w:afterAutospacing="1"/>
        <w:contextualSpacing/>
        <w:rPr>
          <w:rFonts w:asciiTheme="majorHAnsi" w:hAnsiTheme="majorHAnsi" w:cstheme="majorHAnsi"/>
          <w:b/>
          <w:sz w:val="20"/>
          <w:szCs w:val="20"/>
        </w:rPr>
      </w:pPr>
      <w:r w:rsidRPr="00C42506">
        <w:rPr>
          <w:rFonts w:asciiTheme="majorHAnsi" w:hAnsiTheme="majorHAnsi" w:cstheme="majorHAnsi"/>
          <w:b/>
          <w:sz w:val="20"/>
          <w:szCs w:val="20"/>
        </w:rPr>
        <w:t>Summary</w:t>
      </w:r>
    </w:p>
    <w:p w14:paraId="54F3A268" w14:textId="77777777" w:rsidR="00C42506" w:rsidRDefault="00EB1AE2" w:rsidP="001373F3">
      <w:pPr>
        <w:spacing w:before="100" w:beforeAutospacing="1" w:after="100" w:afterAutospacing="1"/>
        <w:contextualSpacing/>
        <w:rPr>
          <w:rFonts w:asciiTheme="majorHAnsi" w:hAnsiTheme="majorHAnsi" w:cstheme="majorHAnsi"/>
          <w:sz w:val="20"/>
          <w:szCs w:val="20"/>
        </w:rPr>
      </w:pPr>
      <w:r>
        <w:rPr>
          <w:rFonts w:asciiTheme="majorHAnsi" w:hAnsiTheme="majorHAnsi" w:cstheme="majorHAnsi"/>
          <w:sz w:val="20"/>
          <w:szCs w:val="20"/>
        </w:rPr>
        <w:t xml:space="preserve">Given </w:t>
      </w:r>
      <w:proofErr w:type="spellStart"/>
      <w:r>
        <w:rPr>
          <w:rFonts w:asciiTheme="majorHAnsi" w:hAnsiTheme="majorHAnsi" w:cstheme="majorHAnsi"/>
          <w:sz w:val="20"/>
          <w:szCs w:val="20"/>
        </w:rPr>
        <w:t>YourSuper</w:t>
      </w:r>
      <w:proofErr w:type="spellEnd"/>
      <w:r>
        <w:rPr>
          <w:rFonts w:asciiTheme="majorHAnsi" w:hAnsiTheme="majorHAnsi" w:cstheme="majorHAnsi"/>
          <w:sz w:val="20"/>
          <w:szCs w:val="20"/>
        </w:rPr>
        <w:t xml:space="preserve"> manages clients that are </w:t>
      </w:r>
      <w:r w:rsidR="0001412B" w:rsidRPr="000111D7">
        <w:rPr>
          <w:rFonts w:asciiTheme="majorHAnsi" w:hAnsiTheme="majorHAnsi" w:cstheme="majorHAnsi"/>
          <w:sz w:val="20"/>
          <w:szCs w:val="20"/>
        </w:rPr>
        <w:t>75</w:t>
      </w:r>
      <w:r>
        <w:rPr>
          <w:rFonts w:asciiTheme="majorHAnsi" w:hAnsiTheme="majorHAnsi" w:cstheme="majorHAnsi"/>
          <w:sz w:val="20"/>
          <w:szCs w:val="20"/>
        </w:rPr>
        <w:t xml:space="preserve"> and</w:t>
      </w:r>
      <w:r w:rsidR="0001412B" w:rsidRPr="000111D7">
        <w:rPr>
          <w:rFonts w:asciiTheme="majorHAnsi" w:hAnsiTheme="majorHAnsi" w:cstheme="majorHAnsi"/>
          <w:sz w:val="20"/>
          <w:szCs w:val="20"/>
        </w:rPr>
        <w:t xml:space="preserve"> older</w:t>
      </w:r>
      <w:r w:rsidR="000111D7" w:rsidRPr="000111D7">
        <w:rPr>
          <w:rFonts w:asciiTheme="majorHAnsi" w:hAnsiTheme="majorHAnsi" w:cstheme="majorHAnsi"/>
          <w:sz w:val="20"/>
          <w:szCs w:val="20"/>
        </w:rPr>
        <w:t>,</w:t>
      </w:r>
      <w:r w:rsidR="002D2D35">
        <w:rPr>
          <w:rFonts w:asciiTheme="majorHAnsi" w:hAnsiTheme="majorHAnsi" w:cstheme="majorHAnsi"/>
          <w:sz w:val="20"/>
          <w:szCs w:val="20"/>
        </w:rPr>
        <w:t xml:space="preserve"> </w:t>
      </w:r>
      <w:r w:rsidR="00353A71">
        <w:rPr>
          <w:rFonts w:asciiTheme="majorHAnsi" w:hAnsiTheme="majorHAnsi" w:cstheme="majorHAnsi"/>
          <w:sz w:val="20"/>
          <w:szCs w:val="20"/>
        </w:rPr>
        <w:t xml:space="preserve">they </w:t>
      </w:r>
      <w:r w:rsidR="00C42506">
        <w:rPr>
          <w:rFonts w:asciiTheme="majorHAnsi" w:hAnsiTheme="majorHAnsi" w:cstheme="majorHAnsi"/>
          <w:sz w:val="20"/>
          <w:szCs w:val="20"/>
        </w:rPr>
        <w:t xml:space="preserve">should </w:t>
      </w:r>
      <w:r w:rsidR="00353A71">
        <w:rPr>
          <w:rFonts w:asciiTheme="majorHAnsi" w:hAnsiTheme="majorHAnsi" w:cstheme="majorHAnsi"/>
          <w:sz w:val="20"/>
          <w:szCs w:val="20"/>
        </w:rPr>
        <w:t>create</w:t>
      </w:r>
      <w:r w:rsidR="0001412B" w:rsidRPr="000111D7">
        <w:rPr>
          <w:rFonts w:asciiTheme="majorHAnsi" w:hAnsiTheme="majorHAnsi" w:cstheme="majorHAnsi"/>
          <w:sz w:val="20"/>
          <w:szCs w:val="20"/>
        </w:rPr>
        <w:t xml:space="preserve"> a low-risk portfolio</w:t>
      </w:r>
      <w:r w:rsidR="00143191">
        <w:rPr>
          <w:rFonts w:asciiTheme="majorHAnsi" w:hAnsiTheme="majorHAnsi" w:cstheme="majorHAnsi"/>
          <w:sz w:val="20"/>
          <w:szCs w:val="20"/>
        </w:rPr>
        <w:t xml:space="preserve"> that will attempt to track the ASX200 at minimum with the intention to slightly outperform the index.</w:t>
      </w:r>
    </w:p>
    <w:p w14:paraId="21AA64E5" w14:textId="77777777" w:rsidR="00C42506" w:rsidRPr="00C42506" w:rsidRDefault="00C42506" w:rsidP="001373F3">
      <w:pPr>
        <w:pStyle w:val="ListParagraph"/>
        <w:numPr>
          <w:ilvl w:val="0"/>
          <w:numId w:val="4"/>
        </w:numPr>
        <w:spacing w:before="100" w:beforeAutospacing="1" w:after="100" w:afterAutospacing="1"/>
        <w:contextualSpacing/>
        <w:rPr>
          <w:rFonts w:asciiTheme="majorHAnsi" w:hAnsiTheme="majorHAnsi" w:cstheme="majorHAnsi"/>
          <w:b/>
          <w:sz w:val="20"/>
          <w:szCs w:val="20"/>
        </w:rPr>
      </w:pPr>
      <w:r w:rsidRPr="00C42506">
        <w:rPr>
          <w:rFonts w:asciiTheme="majorHAnsi" w:hAnsiTheme="majorHAnsi" w:cstheme="majorHAnsi"/>
          <w:b/>
          <w:sz w:val="20"/>
          <w:szCs w:val="20"/>
        </w:rPr>
        <w:t>Customer Risk Pro</w:t>
      </w:r>
      <w:r>
        <w:rPr>
          <w:rFonts w:asciiTheme="majorHAnsi" w:hAnsiTheme="majorHAnsi" w:cstheme="majorHAnsi"/>
          <w:b/>
          <w:sz w:val="20"/>
          <w:szCs w:val="20"/>
        </w:rPr>
        <w:t>file</w:t>
      </w:r>
    </w:p>
    <w:p w14:paraId="20ED7B5C" w14:textId="77777777" w:rsidR="00203A36" w:rsidRDefault="00143191" w:rsidP="001373F3">
      <w:pPr>
        <w:spacing w:before="100" w:beforeAutospacing="1" w:after="100" w:afterAutospacing="1"/>
        <w:contextualSpacing/>
        <w:rPr>
          <w:rFonts w:asciiTheme="majorHAnsi" w:hAnsiTheme="majorHAnsi" w:cstheme="majorHAnsi"/>
          <w:sz w:val="20"/>
          <w:szCs w:val="20"/>
        </w:rPr>
      </w:pPr>
      <w:r>
        <w:rPr>
          <w:rFonts w:asciiTheme="majorHAnsi" w:hAnsiTheme="majorHAnsi" w:cstheme="majorHAnsi"/>
          <w:sz w:val="20"/>
          <w:szCs w:val="20"/>
        </w:rPr>
        <w:t>Elderly clients have a certain risk profile. Their financial investments are focused on capital preservation and returns that are geared toward cash inflows. Dividend and high yielding sectors are popular because of their payout profiles, while pure capital growth strategies are not due to their inherent capital risk. In saying this, much like many investors, they still require diversification as a protection strategy from sector specific falls.</w:t>
      </w:r>
    </w:p>
    <w:p w14:paraId="51A24DEA" w14:textId="77777777" w:rsidR="00C42506" w:rsidRPr="00C42506" w:rsidRDefault="00C42506" w:rsidP="001373F3">
      <w:pPr>
        <w:pStyle w:val="ListParagraph"/>
        <w:numPr>
          <w:ilvl w:val="0"/>
          <w:numId w:val="4"/>
        </w:numPr>
        <w:spacing w:before="100" w:beforeAutospacing="1" w:after="100" w:afterAutospacing="1"/>
        <w:contextualSpacing/>
        <w:rPr>
          <w:rFonts w:asciiTheme="majorHAnsi" w:hAnsiTheme="majorHAnsi" w:cstheme="majorHAnsi"/>
          <w:b/>
          <w:sz w:val="20"/>
          <w:szCs w:val="20"/>
        </w:rPr>
      </w:pPr>
      <w:r w:rsidRPr="00C42506">
        <w:rPr>
          <w:rFonts w:asciiTheme="majorHAnsi" w:hAnsiTheme="majorHAnsi" w:cstheme="majorHAnsi"/>
          <w:b/>
          <w:sz w:val="20"/>
          <w:szCs w:val="20"/>
        </w:rPr>
        <w:t xml:space="preserve">Overall </w:t>
      </w:r>
      <w:r>
        <w:rPr>
          <w:rFonts w:asciiTheme="majorHAnsi" w:hAnsiTheme="majorHAnsi" w:cstheme="majorHAnsi"/>
          <w:b/>
          <w:sz w:val="20"/>
          <w:szCs w:val="20"/>
        </w:rPr>
        <w:t xml:space="preserve">Portfolio </w:t>
      </w:r>
      <w:r w:rsidRPr="00C42506">
        <w:rPr>
          <w:rFonts w:asciiTheme="majorHAnsi" w:hAnsiTheme="majorHAnsi" w:cstheme="majorHAnsi"/>
          <w:b/>
          <w:sz w:val="20"/>
          <w:szCs w:val="20"/>
        </w:rPr>
        <w:t>Strategy</w:t>
      </w:r>
    </w:p>
    <w:p w14:paraId="5A93ED83" w14:textId="77777777" w:rsidR="00C42506" w:rsidRPr="00C42506" w:rsidRDefault="00C42506" w:rsidP="001373F3">
      <w:pPr>
        <w:spacing w:before="100" w:beforeAutospacing="1" w:after="100" w:afterAutospacing="1"/>
        <w:contextualSpacing/>
        <w:rPr>
          <w:rFonts w:asciiTheme="majorHAnsi" w:hAnsiTheme="majorHAnsi" w:cstheme="majorHAnsi"/>
          <w:sz w:val="20"/>
          <w:szCs w:val="20"/>
        </w:rPr>
      </w:pPr>
      <w:r w:rsidRPr="00C42506">
        <w:rPr>
          <w:rFonts w:asciiTheme="majorHAnsi" w:hAnsiTheme="majorHAnsi" w:cstheme="majorHAnsi"/>
          <w:sz w:val="20"/>
          <w:szCs w:val="20"/>
        </w:rPr>
        <w:t xml:space="preserve">To achieve </w:t>
      </w:r>
      <w:r w:rsidR="00143191">
        <w:rPr>
          <w:rFonts w:asciiTheme="majorHAnsi" w:hAnsiTheme="majorHAnsi" w:cstheme="majorHAnsi"/>
          <w:sz w:val="20"/>
          <w:szCs w:val="20"/>
        </w:rPr>
        <w:t>the goal of tracking the ASX200 and potentially outperforming the index,</w:t>
      </w:r>
      <w:r w:rsidRPr="00C42506">
        <w:rPr>
          <w:rFonts w:asciiTheme="majorHAnsi" w:hAnsiTheme="majorHAnsi" w:cstheme="majorHAnsi"/>
          <w:sz w:val="20"/>
          <w:szCs w:val="20"/>
        </w:rPr>
        <w:t xml:space="preserve"> </w:t>
      </w:r>
      <w:r w:rsidR="00143191">
        <w:rPr>
          <w:rFonts w:asciiTheme="majorHAnsi" w:hAnsiTheme="majorHAnsi" w:cstheme="majorHAnsi"/>
          <w:sz w:val="20"/>
          <w:szCs w:val="20"/>
        </w:rPr>
        <w:t xml:space="preserve">I recommend allocating the funds in a way that is mostly neutrally weighted (same weights as the index); however, in order to align the </w:t>
      </w:r>
      <w:r w:rsidR="00E571EB">
        <w:rPr>
          <w:rFonts w:asciiTheme="majorHAnsi" w:hAnsiTheme="majorHAnsi" w:cstheme="majorHAnsi"/>
          <w:sz w:val="20"/>
          <w:szCs w:val="20"/>
        </w:rPr>
        <w:t>interests</w:t>
      </w:r>
      <w:r w:rsidR="00143191">
        <w:rPr>
          <w:rFonts w:asciiTheme="majorHAnsi" w:hAnsiTheme="majorHAnsi" w:cstheme="majorHAnsi"/>
          <w:sz w:val="20"/>
          <w:szCs w:val="20"/>
        </w:rPr>
        <w:t xml:space="preserve"> of the client as well as outperformance of the index, I recommend a slight overweight in Real Estate</w:t>
      </w:r>
      <w:r w:rsidR="00FD0DBD">
        <w:rPr>
          <w:rFonts w:asciiTheme="majorHAnsi" w:hAnsiTheme="majorHAnsi" w:cstheme="majorHAnsi"/>
          <w:sz w:val="20"/>
          <w:szCs w:val="20"/>
        </w:rPr>
        <w:t>, Industrials</w:t>
      </w:r>
      <w:r w:rsidR="00143191">
        <w:rPr>
          <w:rFonts w:asciiTheme="majorHAnsi" w:hAnsiTheme="majorHAnsi" w:cstheme="majorHAnsi"/>
          <w:sz w:val="20"/>
          <w:szCs w:val="20"/>
        </w:rPr>
        <w:t xml:space="preserve"> and Consumer Discretionary, with a slight underweight in Materials and IT (reasoning below).</w:t>
      </w:r>
    </w:p>
    <w:p w14:paraId="780B9CD1" w14:textId="77777777" w:rsidR="005D7C2D" w:rsidRDefault="005D7C2D" w:rsidP="001373F3">
      <w:pPr>
        <w:spacing w:before="100" w:beforeAutospacing="1" w:after="100" w:afterAutospacing="1"/>
        <w:contextualSpacing/>
        <w:rPr>
          <w:rFonts w:asciiTheme="majorHAnsi" w:hAnsiTheme="majorHAnsi" w:cstheme="majorHAnsi"/>
          <w:sz w:val="20"/>
          <w:szCs w:val="20"/>
        </w:rPr>
      </w:pPr>
    </w:p>
    <w:p w14:paraId="708C0325" w14:textId="77777777" w:rsidR="00C42506" w:rsidRDefault="00C42506" w:rsidP="001373F3">
      <w:pPr>
        <w:pStyle w:val="ListParagraph"/>
        <w:numPr>
          <w:ilvl w:val="0"/>
          <w:numId w:val="4"/>
        </w:numPr>
        <w:spacing w:before="100" w:beforeAutospacing="1" w:after="100" w:afterAutospacing="1"/>
        <w:contextualSpacing/>
        <w:rPr>
          <w:rFonts w:asciiTheme="majorHAnsi" w:hAnsiTheme="majorHAnsi" w:cstheme="majorHAnsi"/>
          <w:b/>
          <w:sz w:val="20"/>
          <w:szCs w:val="20"/>
        </w:rPr>
      </w:pPr>
      <w:r>
        <w:rPr>
          <w:rFonts w:asciiTheme="majorHAnsi" w:hAnsiTheme="majorHAnsi" w:cstheme="majorHAnsi"/>
          <w:b/>
          <w:sz w:val="20"/>
          <w:szCs w:val="20"/>
        </w:rPr>
        <w:t>Allocations</w:t>
      </w:r>
    </w:p>
    <w:p w14:paraId="4661A125" w14:textId="77777777" w:rsidR="00C42506" w:rsidRPr="000111D7" w:rsidRDefault="00C42506" w:rsidP="001373F3">
      <w:pPr>
        <w:spacing w:before="100" w:beforeAutospacing="1" w:after="100" w:afterAutospacing="1"/>
        <w:contextualSpacing/>
        <w:rPr>
          <w:rFonts w:asciiTheme="majorHAnsi" w:hAnsiTheme="majorHAnsi" w:cstheme="majorHAnsi"/>
          <w:b/>
          <w:sz w:val="20"/>
          <w:szCs w:val="20"/>
          <w:u w:val="single"/>
        </w:rPr>
      </w:pPr>
      <w:r w:rsidRPr="000111D7">
        <w:rPr>
          <w:rFonts w:asciiTheme="majorHAnsi" w:hAnsiTheme="majorHAnsi" w:cstheme="majorHAnsi"/>
          <w:sz w:val="20"/>
          <w:szCs w:val="20"/>
        </w:rPr>
        <w:t xml:space="preserve">I advise </w:t>
      </w:r>
      <w:proofErr w:type="spellStart"/>
      <w:r w:rsidRPr="000111D7">
        <w:rPr>
          <w:rFonts w:asciiTheme="majorHAnsi" w:hAnsiTheme="majorHAnsi" w:cstheme="majorHAnsi"/>
          <w:sz w:val="20"/>
          <w:szCs w:val="20"/>
        </w:rPr>
        <w:t>YourSuper</w:t>
      </w:r>
      <w:proofErr w:type="spellEnd"/>
      <w:r w:rsidRPr="000111D7">
        <w:rPr>
          <w:rFonts w:asciiTheme="majorHAnsi" w:hAnsiTheme="majorHAnsi" w:cstheme="majorHAnsi"/>
          <w:sz w:val="20"/>
          <w:szCs w:val="20"/>
        </w:rPr>
        <w:t xml:space="preserve"> to invest a portion of their capital ($900m) </w:t>
      </w:r>
      <w:r>
        <w:rPr>
          <w:rFonts w:asciiTheme="majorHAnsi" w:hAnsiTheme="majorHAnsi" w:cstheme="majorHAnsi"/>
          <w:sz w:val="20"/>
          <w:szCs w:val="20"/>
        </w:rPr>
        <w:t>as per the below:</w:t>
      </w:r>
    </w:p>
    <w:p w14:paraId="2A6FE847" w14:textId="77777777" w:rsidR="00D23A47" w:rsidRPr="00C42506" w:rsidRDefault="00C42506" w:rsidP="001373F3">
      <w:pPr>
        <w:pStyle w:val="ListParagraph"/>
        <w:numPr>
          <w:ilvl w:val="1"/>
          <w:numId w:val="4"/>
        </w:numPr>
        <w:spacing w:before="100" w:beforeAutospacing="1" w:after="100" w:afterAutospacing="1"/>
        <w:contextualSpacing/>
        <w:rPr>
          <w:rFonts w:asciiTheme="majorHAnsi" w:hAnsiTheme="majorHAnsi" w:cstheme="majorHAnsi"/>
          <w:b/>
          <w:sz w:val="20"/>
          <w:szCs w:val="20"/>
        </w:rPr>
      </w:pPr>
      <w:r>
        <w:rPr>
          <w:rFonts w:asciiTheme="majorHAnsi" w:hAnsiTheme="majorHAnsi" w:cstheme="majorHAnsi"/>
          <w:b/>
          <w:sz w:val="20"/>
          <w:szCs w:val="20"/>
        </w:rPr>
        <w:t>Sector</w:t>
      </w:r>
      <w:r w:rsidR="00203A36" w:rsidRPr="00C42506">
        <w:rPr>
          <w:rFonts w:asciiTheme="majorHAnsi" w:hAnsiTheme="majorHAnsi" w:cstheme="majorHAnsi"/>
          <w:b/>
          <w:sz w:val="20"/>
          <w:szCs w:val="20"/>
        </w:rPr>
        <w:t xml:space="preserve"> Weightings</w:t>
      </w:r>
    </w:p>
    <w:tbl>
      <w:tblPr>
        <w:tblStyle w:val="TableGrid"/>
        <w:tblW w:w="0" w:type="auto"/>
        <w:tblLook w:val="04A0" w:firstRow="1" w:lastRow="0" w:firstColumn="1" w:lastColumn="0" w:noHBand="0" w:noVBand="1"/>
      </w:tblPr>
      <w:tblGrid>
        <w:gridCol w:w="1728"/>
        <w:gridCol w:w="1417"/>
        <w:gridCol w:w="6565"/>
      </w:tblGrid>
      <w:tr w:rsidR="00716689" w14:paraId="08FA5101" w14:textId="77777777" w:rsidTr="00E571EB">
        <w:tc>
          <w:tcPr>
            <w:tcW w:w="1728" w:type="dxa"/>
          </w:tcPr>
          <w:p w14:paraId="222EAB7C" w14:textId="77777777" w:rsidR="00716689" w:rsidRPr="00203A36" w:rsidRDefault="00716689" w:rsidP="001373F3">
            <w:pPr>
              <w:spacing w:before="100" w:beforeAutospacing="1" w:after="100" w:afterAutospacing="1"/>
              <w:contextualSpacing/>
              <w:rPr>
                <w:rFonts w:asciiTheme="majorHAnsi" w:hAnsiTheme="majorHAnsi" w:cstheme="majorHAnsi"/>
                <w:b/>
                <w:sz w:val="20"/>
                <w:szCs w:val="20"/>
              </w:rPr>
            </w:pPr>
            <w:r>
              <w:rPr>
                <w:rFonts w:asciiTheme="majorHAnsi" w:hAnsiTheme="majorHAnsi" w:cstheme="majorHAnsi"/>
                <w:b/>
                <w:sz w:val="20"/>
                <w:szCs w:val="20"/>
              </w:rPr>
              <w:t>Sector</w:t>
            </w:r>
          </w:p>
        </w:tc>
        <w:tc>
          <w:tcPr>
            <w:tcW w:w="990" w:type="dxa"/>
          </w:tcPr>
          <w:p w14:paraId="737576A8" w14:textId="77777777" w:rsidR="00716689" w:rsidRPr="00353A71" w:rsidRDefault="00716689" w:rsidP="001373F3">
            <w:pPr>
              <w:pStyle w:val="m-1525758337289540974text"/>
              <w:shd w:val="clear" w:color="auto" w:fill="FFFFFF"/>
              <w:contextualSpacing/>
              <w:rPr>
                <w:rFonts w:asciiTheme="majorHAnsi" w:hAnsiTheme="majorHAnsi" w:cstheme="majorHAnsi"/>
                <w:b/>
                <w:sz w:val="20"/>
                <w:szCs w:val="20"/>
              </w:rPr>
            </w:pPr>
            <w:r w:rsidRPr="00353A71">
              <w:rPr>
                <w:rFonts w:asciiTheme="majorHAnsi" w:hAnsiTheme="majorHAnsi" w:cstheme="majorHAnsi"/>
                <w:b/>
                <w:sz w:val="20"/>
                <w:szCs w:val="20"/>
              </w:rPr>
              <w:t>Weighting</w:t>
            </w:r>
          </w:p>
        </w:tc>
        <w:tc>
          <w:tcPr>
            <w:tcW w:w="6992" w:type="dxa"/>
          </w:tcPr>
          <w:p w14:paraId="7C55F739" w14:textId="77777777" w:rsidR="00716689" w:rsidRPr="00353A71" w:rsidRDefault="00716689" w:rsidP="001373F3">
            <w:pPr>
              <w:pStyle w:val="m-1525758337289540974text"/>
              <w:shd w:val="clear" w:color="auto" w:fill="FFFFFF"/>
              <w:contextualSpacing/>
              <w:rPr>
                <w:rFonts w:asciiTheme="majorHAnsi" w:hAnsiTheme="majorHAnsi" w:cstheme="majorHAnsi"/>
                <w:b/>
                <w:sz w:val="20"/>
                <w:szCs w:val="20"/>
              </w:rPr>
            </w:pPr>
            <w:r w:rsidRPr="00353A71">
              <w:rPr>
                <w:rFonts w:asciiTheme="majorHAnsi" w:hAnsiTheme="majorHAnsi" w:cstheme="majorHAnsi"/>
                <w:b/>
                <w:sz w:val="20"/>
                <w:szCs w:val="20"/>
              </w:rPr>
              <w:t>Rationale</w:t>
            </w:r>
          </w:p>
        </w:tc>
      </w:tr>
      <w:tr w:rsidR="00716689" w14:paraId="07834F3D" w14:textId="77777777" w:rsidTr="00E571EB">
        <w:tc>
          <w:tcPr>
            <w:tcW w:w="1728" w:type="dxa"/>
          </w:tcPr>
          <w:p w14:paraId="06023A41" w14:textId="77777777" w:rsidR="00716689" w:rsidRPr="00203A36" w:rsidRDefault="00716689" w:rsidP="001373F3">
            <w:pPr>
              <w:spacing w:before="100" w:beforeAutospacing="1" w:after="100" w:afterAutospacing="1"/>
              <w:contextualSpacing/>
              <w:rPr>
                <w:rFonts w:asciiTheme="majorHAnsi" w:hAnsiTheme="majorHAnsi" w:cstheme="majorHAnsi"/>
                <w:b/>
                <w:sz w:val="20"/>
                <w:szCs w:val="20"/>
              </w:rPr>
            </w:pPr>
            <w:r w:rsidRPr="00203A36">
              <w:rPr>
                <w:rFonts w:asciiTheme="majorHAnsi" w:hAnsiTheme="majorHAnsi" w:cstheme="majorHAnsi"/>
                <w:b/>
                <w:sz w:val="20"/>
                <w:szCs w:val="20"/>
              </w:rPr>
              <w:t xml:space="preserve">Financials </w:t>
            </w:r>
          </w:p>
          <w:p w14:paraId="1E818D82" w14:textId="77777777" w:rsidR="00716689" w:rsidRDefault="00716689" w:rsidP="001373F3">
            <w:pPr>
              <w:spacing w:before="100" w:beforeAutospacing="1" w:after="100" w:afterAutospacing="1"/>
              <w:contextualSpacing/>
              <w:rPr>
                <w:rFonts w:asciiTheme="majorHAnsi" w:hAnsiTheme="majorHAnsi" w:cstheme="majorHAnsi"/>
                <w:b/>
                <w:sz w:val="20"/>
                <w:szCs w:val="20"/>
                <w:u w:val="single"/>
              </w:rPr>
            </w:pPr>
          </w:p>
        </w:tc>
        <w:tc>
          <w:tcPr>
            <w:tcW w:w="990" w:type="dxa"/>
          </w:tcPr>
          <w:p w14:paraId="6B1E690C" w14:textId="77777777" w:rsidR="00716689" w:rsidRPr="000111D7" w:rsidRDefault="00716689" w:rsidP="001373F3">
            <w:pPr>
              <w:pStyle w:val="m-1525758337289540974text"/>
              <w:shd w:val="clear" w:color="auto" w:fill="FFFFFF"/>
              <w:contextualSpacing/>
              <w:rPr>
                <w:rFonts w:asciiTheme="majorHAnsi" w:hAnsiTheme="majorHAnsi" w:cstheme="majorHAnsi"/>
                <w:sz w:val="20"/>
                <w:szCs w:val="20"/>
              </w:rPr>
            </w:pPr>
            <w:r>
              <w:rPr>
                <w:rFonts w:asciiTheme="majorHAnsi" w:hAnsiTheme="majorHAnsi" w:cstheme="majorHAnsi"/>
                <w:sz w:val="20"/>
                <w:szCs w:val="20"/>
              </w:rPr>
              <w:t>40% </w:t>
            </w:r>
            <w:r w:rsidRPr="000111D7">
              <w:rPr>
                <w:rFonts w:asciiTheme="majorHAnsi" w:hAnsiTheme="majorHAnsi" w:cstheme="majorHAnsi"/>
                <w:sz w:val="20"/>
                <w:szCs w:val="20"/>
              </w:rPr>
              <w:t>($360m)</w:t>
            </w:r>
          </w:p>
        </w:tc>
        <w:tc>
          <w:tcPr>
            <w:tcW w:w="6992" w:type="dxa"/>
          </w:tcPr>
          <w:p w14:paraId="08B0F3BD" w14:textId="53DF4E87" w:rsidR="00716689" w:rsidRPr="000111D7" w:rsidRDefault="0063334E" w:rsidP="0063334E">
            <w:pPr>
              <w:pStyle w:val="m-1525758337289540974text"/>
              <w:shd w:val="clear" w:color="auto" w:fill="FFFFFF"/>
              <w:contextualSpacing/>
              <w:rPr>
                <w:rFonts w:asciiTheme="majorHAnsi" w:hAnsiTheme="majorHAnsi" w:cstheme="majorHAnsi"/>
                <w:sz w:val="20"/>
                <w:szCs w:val="20"/>
              </w:rPr>
            </w:pPr>
            <w:r>
              <w:rPr>
                <w:rFonts w:asciiTheme="majorHAnsi" w:hAnsiTheme="majorHAnsi" w:cstheme="majorHAnsi"/>
                <w:sz w:val="20"/>
                <w:szCs w:val="20"/>
              </w:rPr>
              <w:t>Neutral weighting. Being the largest sector in the index, Financials are arguably the most important allocation when creating a portfolio. They</w:t>
            </w:r>
            <w:r w:rsidR="00675F47">
              <w:rPr>
                <w:rFonts w:asciiTheme="majorHAnsi" w:hAnsiTheme="majorHAnsi" w:cstheme="majorHAnsi"/>
                <w:sz w:val="20"/>
                <w:szCs w:val="20"/>
              </w:rPr>
              <w:t xml:space="preserve"> </w:t>
            </w:r>
            <w:r>
              <w:rPr>
                <w:rFonts w:asciiTheme="majorHAnsi" w:hAnsiTheme="majorHAnsi" w:cstheme="majorHAnsi"/>
                <w:sz w:val="20"/>
                <w:szCs w:val="20"/>
              </w:rPr>
              <w:t xml:space="preserve">also provide a solid income stream through dividends. As I do not want to risk being overweight or underweight Financials and potentially underperforming the index, I will maintain a neutral weighting; while benefitting from their dividend cash inflows.  </w:t>
            </w:r>
          </w:p>
        </w:tc>
      </w:tr>
      <w:tr w:rsidR="00716689" w14:paraId="7A8963C9" w14:textId="77777777" w:rsidTr="00E571EB">
        <w:trPr>
          <w:trHeight w:val="70"/>
        </w:trPr>
        <w:tc>
          <w:tcPr>
            <w:tcW w:w="1728" w:type="dxa"/>
          </w:tcPr>
          <w:p w14:paraId="538385C4" w14:textId="77777777" w:rsidR="00716689" w:rsidRPr="00203A36" w:rsidRDefault="00716689" w:rsidP="001373F3">
            <w:pPr>
              <w:spacing w:before="100" w:beforeAutospacing="1" w:after="100" w:afterAutospacing="1"/>
              <w:contextualSpacing/>
              <w:rPr>
                <w:rFonts w:asciiTheme="majorHAnsi" w:hAnsiTheme="majorHAnsi" w:cstheme="majorHAnsi"/>
                <w:b/>
                <w:sz w:val="20"/>
                <w:szCs w:val="20"/>
              </w:rPr>
            </w:pPr>
            <w:r w:rsidRPr="00203A36">
              <w:rPr>
                <w:rFonts w:asciiTheme="majorHAnsi" w:hAnsiTheme="majorHAnsi" w:cstheme="majorHAnsi"/>
                <w:b/>
                <w:sz w:val="20"/>
                <w:szCs w:val="20"/>
              </w:rPr>
              <w:t xml:space="preserve">Materials </w:t>
            </w:r>
          </w:p>
          <w:p w14:paraId="77AF894A" w14:textId="77777777" w:rsidR="00716689" w:rsidRPr="000111D7" w:rsidRDefault="00716689" w:rsidP="001373F3">
            <w:pPr>
              <w:spacing w:before="100" w:beforeAutospacing="1" w:after="100" w:afterAutospacing="1"/>
              <w:contextualSpacing/>
              <w:rPr>
                <w:rFonts w:asciiTheme="majorHAnsi" w:hAnsiTheme="majorHAnsi" w:cstheme="majorHAnsi"/>
                <w:sz w:val="20"/>
                <w:szCs w:val="20"/>
              </w:rPr>
            </w:pPr>
          </w:p>
        </w:tc>
        <w:tc>
          <w:tcPr>
            <w:tcW w:w="990" w:type="dxa"/>
          </w:tcPr>
          <w:p w14:paraId="2432DAF7" w14:textId="77777777" w:rsidR="00716689" w:rsidRPr="000111D7" w:rsidRDefault="00716689" w:rsidP="001373F3">
            <w:pPr>
              <w:pStyle w:val="m-1525758337289540974text"/>
              <w:shd w:val="clear" w:color="auto" w:fill="FFFFFF"/>
              <w:contextualSpacing/>
              <w:rPr>
                <w:rFonts w:asciiTheme="majorHAnsi" w:hAnsiTheme="majorHAnsi" w:cstheme="majorHAnsi"/>
                <w:sz w:val="20"/>
                <w:szCs w:val="20"/>
              </w:rPr>
            </w:pPr>
            <w:r w:rsidRPr="000111D7">
              <w:rPr>
                <w:rFonts w:asciiTheme="majorHAnsi" w:hAnsiTheme="majorHAnsi" w:cstheme="majorHAnsi"/>
                <w:sz w:val="20"/>
                <w:szCs w:val="20"/>
              </w:rPr>
              <w:t>15%</w:t>
            </w:r>
            <w:r>
              <w:rPr>
                <w:rFonts w:asciiTheme="majorHAnsi" w:hAnsiTheme="majorHAnsi" w:cstheme="majorHAnsi"/>
                <w:sz w:val="20"/>
                <w:szCs w:val="20"/>
              </w:rPr>
              <w:t xml:space="preserve"> </w:t>
            </w:r>
            <w:r w:rsidRPr="000111D7">
              <w:rPr>
                <w:rFonts w:asciiTheme="majorHAnsi" w:hAnsiTheme="majorHAnsi" w:cstheme="majorHAnsi"/>
                <w:sz w:val="20"/>
                <w:szCs w:val="20"/>
              </w:rPr>
              <w:t>($135m)</w:t>
            </w:r>
          </w:p>
        </w:tc>
        <w:tc>
          <w:tcPr>
            <w:tcW w:w="6992" w:type="dxa"/>
          </w:tcPr>
          <w:p w14:paraId="4E06EB9A" w14:textId="77777777" w:rsidR="00716689" w:rsidRPr="000111D7" w:rsidRDefault="0063334E" w:rsidP="0063334E">
            <w:pPr>
              <w:pStyle w:val="m-1525758337289540974text"/>
              <w:shd w:val="clear" w:color="auto" w:fill="FFFFFF"/>
              <w:contextualSpacing/>
              <w:rPr>
                <w:rFonts w:asciiTheme="majorHAnsi" w:hAnsiTheme="majorHAnsi" w:cstheme="majorHAnsi"/>
                <w:sz w:val="20"/>
                <w:szCs w:val="20"/>
              </w:rPr>
            </w:pPr>
            <w:r>
              <w:rPr>
                <w:rFonts w:asciiTheme="majorHAnsi" w:hAnsiTheme="majorHAnsi" w:cstheme="majorHAnsi"/>
                <w:sz w:val="20"/>
                <w:szCs w:val="20"/>
              </w:rPr>
              <w:t xml:space="preserve">Slight Underweight. </w:t>
            </w:r>
            <w:r w:rsidR="00716689" w:rsidRPr="000111D7">
              <w:rPr>
                <w:rFonts w:asciiTheme="majorHAnsi" w:hAnsiTheme="majorHAnsi" w:cstheme="majorHAnsi"/>
                <w:sz w:val="20"/>
                <w:szCs w:val="20"/>
              </w:rPr>
              <w:t xml:space="preserve">Whilst the material sector is a large proportion of the index, it is a sector that </w:t>
            </w:r>
            <w:r>
              <w:rPr>
                <w:rFonts w:asciiTheme="majorHAnsi" w:hAnsiTheme="majorHAnsi" w:cstheme="majorHAnsi"/>
                <w:sz w:val="20"/>
                <w:szCs w:val="20"/>
              </w:rPr>
              <w:t xml:space="preserve">provides a high dividend yield but at a cost, with the cost being risk to the investors capital preservation. Due to Iron Ore’s recent rally, the Material sector has rallied significantly. As a result, I do not want to risk a selloff in commodity prices and intend to preserve my client’s capital. Therefore, </w:t>
            </w:r>
            <w:r w:rsidR="00716689" w:rsidRPr="000111D7">
              <w:rPr>
                <w:rFonts w:asciiTheme="majorHAnsi" w:hAnsiTheme="majorHAnsi" w:cstheme="majorHAnsi"/>
                <w:sz w:val="20"/>
                <w:szCs w:val="20"/>
              </w:rPr>
              <w:t xml:space="preserve">I will be slightly </w:t>
            </w:r>
            <w:proofErr w:type="gramStart"/>
            <w:r w:rsidR="00716689" w:rsidRPr="000111D7">
              <w:rPr>
                <w:rFonts w:asciiTheme="majorHAnsi" w:hAnsiTheme="majorHAnsi" w:cstheme="majorHAnsi"/>
                <w:sz w:val="20"/>
                <w:szCs w:val="20"/>
              </w:rPr>
              <w:t>u</w:t>
            </w:r>
            <w:r>
              <w:rPr>
                <w:rFonts w:asciiTheme="majorHAnsi" w:hAnsiTheme="majorHAnsi" w:cstheme="majorHAnsi"/>
                <w:sz w:val="20"/>
                <w:szCs w:val="20"/>
              </w:rPr>
              <w:t>nderweight</w:t>
            </w:r>
            <w:proofErr w:type="gramEnd"/>
            <w:r>
              <w:rPr>
                <w:rFonts w:asciiTheme="majorHAnsi" w:hAnsiTheme="majorHAnsi" w:cstheme="majorHAnsi"/>
                <w:sz w:val="20"/>
                <w:szCs w:val="20"/>
              </w:rPr>
              <w:t xml:space="preserve"> the Materials sector.</w:t>
            </w:r>
          </w:p>
        </w:tc>
      </w:tr>
      <w:tr w:rsidR="00716689" w14:paraId="32683391" w14:textId="77777777" w:rsidTr="00E571EB">
        <w:tc>
          <w:tcPr>
            <w:tcW w:w="1728" w:type="dxa"/>
          </w:tcPr>
          <w:p w14:paraId="03C604FE" w14:textId="77777777" w:rsidR="00716689" w:rsidRPr="00203A36" w:rsidRDefault="00716689" w:rsidP="001373F3">
            <w:pPr>
              <w:spacing w:before="100" w:beforeAutospacing="1" w:after="100" w:afterAutospacing="1"/>
              <w:contextualSpacing/>
              <w:rPr>
                <w:rFonts w:asciiTheme="majorHAnsi" w:hAnsiTheme="majorHAnsi" w:cstheme="majorHAnsi"/>
                <w:b/>
                <w:sz w:val="20"/>
                <w:szCs w:val="20"/>
              </w:rPr>
            </w:pPr>
            <w:r w:rsidRPr="00203A36">
              <w:rPr>
                <w:rFonts w:asciiTheme="majorHAnsi" w:hAnsiTheme="majorHAnsi" w:cstheme="majorHAnsi"/>
                <w:b/>
                <w:sz w:val="20"/>
                <w:szCs w:val="20"/>
              </w:rPr>
              <w:t>Healthcare</w:t>
            </w:r>
          </w:p>
          <w:p w14:paraId="5EBA3832" w14:textId="77777777" w:rsidR="00716689" w:rsidRPr="000111D7" w:rsidRDefault="00716689" w:rsidP="001373F3">
            <w:pPr>
              <w:spacing w:before="100" w:beforeAutospacing="1" w:after="100" w:afterAutospacing="1"/>
              <w:contextualSpacing/>
              <w:rPr>
                <w:rFonts w:asciiTheme="majorHAnsi" w:hAnsiTheme="majorHAnsi" w:cstheme="majorHAnsi"/>
                <w:sz w:val="20"/>
                <w:szCs w:val="20"/>
              </w:rPr>
            </w:pPr>
          </w:p>
        </w:tc>
        <w:tc>
          <w:tcPr>
            <w:tcW w:w="990" w:type="dxa"/>
          </w:tcPr>
          <w:p w14:paraId="290AD1A6" w14:textId="77777777" w:rsidR="00716689" w:rsidRPr="000111D7" w:rsidRDefault="00716689" w:rsidP="001373F3">
            <w:pPr>
              <w:pStyle w:val="m-1525758337289540974text"/>
              <w:shd w:val="clear" w:color="auto" w:fill="FFFFFF"/>
              <w:contextualSpacing/>
              <w:rPr>
                <w:rFonts w:asciiTheme="majorHAnsi" w:hAnsiTheme="majorHAnsi" w:cstheme="majorHAnsi"/>
                <w:sz w:val="20"/>
                <w:szCs w:val="20"/>
              </w:rPr>
            </w:pPr>
            <w:r w:rsidRPr="000111D7">
              <w:rPr>
                <w:rFonts w:asciiTheme="majorHAnsi" w:hAnsiTheme="majorHAnsi" w:cstheme="majorHAnsi"/>
                <w:sz w:val="20"/>
                <w:szCs w:val="20"/>
              </w:rPr>
              <w:t>9%</w:t>
            </w:r>
            <w:r>
              <w:rPr>
                <w:rFonts w:asciiTheme="majorHAnsi" w:hAnsiTheme="majorHAnsi" w:cstheme="majorHAnsi"/>
                <w:sz w:val="20"/>
                <w:szCs w:val="20"/>
              </w:rPr>
              <w:t xml:space="preserve"> </w:t>
            </w:r>
            <w:r w:rsidRPr="000111D7">
              <w:rPr>
                <w:rFonts w:asciiTheme="majorHAnsi" w:hAnsiTheme="majorHAnsi" w:cstheme="majorHAnsi"/>
                <w:sz w:val="20"/>
                <w:szCs w:val="20"/>
              </w:rPr>
              <w:t>($81m)</w:t>
            </w:r>
          </w:p>
        </w:tc>
        <w:tc>
          <w:tcPr>
            <w:tcW w:w="6992" w:type="dxa"/>
          </w:tcPr>
          <w:p w14:paraId="1F198DF8" w14:textId="734B6B7C" w:rsidR="00716689" w:rsidRPr="000111D7" w:rsidRDefault="00FD0DBD" w:rsidP="001373F3">
            <w:pPr>
              <w:pStyle w:val="m-1525758337289540974text"/>
              <w:shd w:val="clear" w:color="auto" w:fill="FFFFFF"/>
              <w:contextualSpacing/>
              <w:rPr>
                <w:rFonts w:asciiTheme="majorHAnsi" w:hAnsiTheme="majorHAnsi" w:cstheme="majorHAnsi"/>
                <w:sz w:val="20"/>
                <w:szCs w:val="20"/>
              </w:rPr>
            </w:pPr>
            <w:r>
              <w:rPr>
                <w:rFonts w:asciiTheme="majorHAnsi" w:hAnsiTheme="majorHAnsi" w:cstheme="majorHAnsi"/>
                <w:sz w:val="20"/>
                <w:szCs w:val="20"/>
              </w:rPr>
              <w:t xml:space="preserve">Neutral. </w:t>
            </w:r>
            <w:r w:rsidR="00716689" w:rsidRPr="000111D7">
              <w:rPr>
                <w:rFonts w:asciiTheme="majorHAnsi" w:hAnsiTheme="majorHAnsi" w:cstheme="majorHAnsi"/>
                <w:sz w:val="20"/>
                <w:szCs w:val="20"/>
              </w:rPr>
              <w:t>The Healthcare sector, due to its moderate weighting in the index, is a sector whereby one can seek outperformance. The stabi</w:t>
            </w:r>
            <w:r w:rsidR="00716689">
              <w:rPr>
                <w:rFonts w:asciiTheme="majorHAnsi" w:hAnsiTheme="majorHAnsi" w:cstheme="majorHAnsi"/>
                <w:sz w:val="20"/>
                <w:szCs w:val="20"/>
              </w:rPr>
              <w:t>li</w:t>
            </w:r>
            <w:r>
              <w:rPr>
                <w:rFonts w:asciiTheme="majorHAnsi" w:hAnsiTheme="majorHAnsi" w:cstheme="majorHAnsi"/>
                <w:sz w:val="20"/>
                <w:szCs w:val="20"/>
              </w:rPr>
              <w:t>ty of the sector is attractive; however, there has been a lot of M&amp;A activity in the space and therefore navigating through each of the stocks can be tricky, As I do not have a clear view of each individual stock; I will simply maintain a neutral weighting</w:t>
            </w:r>
            <w:r w:rsidR="00716689" w:rsidRPr="000111D7">
              <w:rPr>
                <w:rFonts w:asciiTheme="majorHAnsi" w:hAnsiTheme="majorHAnsi" w:cstheme="majorHAnsi"/>
                <w:sz w:val="20"/>
                <w:szCs w:val="20"/>
              </w:rPr>
              <w:t xml:space="preserve"> </w:t>
            </w:r>
          </w:p>
        </w:tc>
      </w:tr>
      <w:tr w:rsidR="00716689" w14:paraId="541F36F6" w14:textId="77777777" w:rsidTr="00E571EB">
        <w:tc>
          <w:tcPr>
            <w:tcW w:w="1728" w:type="dxa"/>
          </w:tcPr>
          <w:p w14:paraId="628F1EA9" w14:textId="77777777" w:rsidR="00716689" w:rsidRPr="00203A36" w:rsidRDefault="00716689" w:rsidP="001373F3">
            <w:pPr>
              <w:spacing w:before="100" w:beforeAutospacing="1" w:after="100" w:afterAutospacing="1"/>
              <w:contextualSpacing/>
              <w:rPr>
                <w:rFonts w:asciiTheme="majorHAnsi" w:hAnsiTheme="majorHAnsi" w:cstheme="majorHAnsi"/>
                <w:b/>
                <w:sz w:val="20"/>
                <w:szCs w:val="20"/>
              </w:rPr>
            </w:pPr>
            <w:r w:rsidRPr="00203A36">
              <w:rPr>
                <w:rFonts w:asciiTheme="majorHAnsi" w:hAnsiTheme="majorHAnsi" w:cstheme="majorHAnsi"/>
                <w:b/>
                <w:sz w:val="20"/>
                <w:szCs w:val="20"/>
              </w:rPr>
              <w:lastRenderedPageBreak/>
              <w:t>Industrials</w:t>
            </w:r>
          </w:p>
          <w:p w14:paraId="27982332" w14:textId="77777777" w:rsidR="00716689" w:rsidRPr="000111D7" w:rsidRDefault="00716689" w:rsidP="001373F3">
            <w:pPr>
              <w:spacing w:before="100" w:beforeAutospacing="1" w:after="100" w:afterAutospacing="1"/>
              <w:contextualSpacing/>
              <w:rPr>
                <w:rFonts w:asciiTheme="majorHAnsi" w:hAnsiTheme="majorHAnsi" w:cstheme="majorHAnsi"/>
                <w:sz w:val="20"/>
                <w:szCs w:val="20"/>
              </w:rPr>
            </w:pPr>
          </w:p>
        </w:tc>
        <w:tc>
          <w:tcPr>
            <w:tcW w:w="990" w:type="dxa"/>
          </w:tcPr>
          <w:p w14:paraId="128AFAED" w14:textId="77777777" w:rsidR="00716689" w:rsidRPr="000111D7" w:rsidRDefault="00353A71" w:rsidP="001373F3">
            <w:pPr>
              <w:pStyle w:val="m-1525758337289540974text"/>
              <w:shd w:val="clear" w:color="auto" w:fill="FFFFFF"/>
              <w:contextualSpacing/>
              <w:rPr>
                <w:rFonts w:asciiTheme="majorHAnsi" w:hAnsiTheme="majorHAnsi" w:cstheme="majorHAnsi"/>
                <w:sz w:val="20"/>
                <w:szCs w:val="20"/>
              </w:rPr>
            </w:pPr>
            <w:r w:rsidRPr="000111D7">
              <w:rPr>
                <w:rFonts w:asciiTheme="majorHAnsi" w:hAnsiTheme="majorHAnsi" w:cstheme="majorHAnsi"/>
                <w:sz w:val="20"/>
                <w:szCs w:val="20"/>
              </w:rPr>
              <w:t>7%</w:t>
            </w:r>
            <w:r>
              <w:rPr>
                <w:rFonts w:asciiTheme="majorHAnsi" w:hAnsiTheme="majorHAnsi" w:cstheme="majorHAnsi"/>
                <w:sz w:val="20"/>
                <w:szCs w:val="20"/>
              </w:rPr>
              <w:t xml:space="preserve"> </w:t>
            </w:r>
            <w:r w:rsidRPr="000111D7">
              <w:rPr>
                <w:rFonts w:asciiTheme="majorHAnsi" w:hAnsiTheme="majorHAnsi" w:cstheme="majorHAnsi"/>
                <w:sz w:val="20"/>
                <w:szCs w:val="20"/>
              </w:rPr>
              <w:t>($63m)</w:t>
            </w:r>
          </w:p>
        </w:tc>
        <w:tc>
          <w:tcPr>
            <w:tcW w:w="6992" w:type="dxa"/>
          </w:tcPr>
          <w:p w14:paraId="78C90DB1" w14:textId="77777777" w:rsidR="00716689" w:rsidRPr="000111D7" w:rsidRDefault="00FD0DBD" w:rsidP="00FD0DBD">
            <w:pPr>
              <w:pStyle w:val="m-1525758337289540974text"/>
              <w:shd w:val="clear" w:color="auto" w:fill="FFFFFF"/>
              <w:contextualSpacing/>
              <w:rPr>
                <w:rFonts w:asciiTheme="majorHAnsi" w:hAnsiTheme="majorHAnsi" w:cstheme="majorHAnsi"/>
                <w:sz w:val="20"/>
                <w:szCs w:val="20"/>
              </w:rPr>
            </w:pPr>
            <w:r>
              <w:rPr>
                <w:rFonts w:asciiTheme="majorHAnsi" w:hAnsiTheme="majorHAnsi" w:cstheme="majorHAnsi"/>
                <w:sz w:val="20"/>
                <w:szCs w:val="20"/>
              </w:rPr>
              <w:t xml:space="preserve">Overweight. </w:t>
            </w:r>
            <w:r w:rsidR="00716689" w:rsidRPr="000111D7">
              <w:rPr>
                <w:rFonts w:asciiTheme="majorHAnsi" w:hAnsiTheme="majorHAnsi" w:cstheme="majorHAnsi"/>
                <w:sz w:val="20"/>
                <w:szCs w:val="20"/>
              </w:rPr>
              <w:t>The industrial sector has many facets. Some names in the sector are linked to bond yields</w:t>
            </w:r>
            <w:r>
              <w:rPr>
                <w:rFonts w:asciiTheme="majorHAnsi" w:hAnsiTheme="majorHAnsi" w:cstheme="majorHAnsi"/>
                <w:sz w:val="20"/>
                <w:szCs w:val="20"/>
              </w:rPr>
              <w:t xml:space="preserve"> due to their dividend payouts</w:t>
            </w:r>
            <w:r w:rsidR="00716689" w:rsidRPr="000111D7">
              <w:rPr>
                <w:rFonts w:asciiTheme="majorHAnsi" w:hAnsiTheme="majorHAnsi" w:cstheme="majorHAnsi"/>
                <w:sz w:val="20"/>
                <w:szCs w:val="20"/>
              </w:rPr>
              <w:t xml:space="preserve">. </w:t>
            </w:r>
            <w:r>
              <w:rPr>
                <w:rFonts w:asciiTheme="majorHAnsi" w:hAnsiTheme="majorHAnsi" w:cstheme="majorHAnsi"/>
                <w:sz w:val="20"/>
                <w:szCs w:val="20"/>
              </w:rPr>
              <w:t>Their dividend yield is attractive as is their capital preservation qualities. The RBA’s easing cycle should also provide room for further expansion and therefore capital growth. As a result,</w:t>
            </w:r>
            <w:r w:rsidR="00716689" w:rsidRPr="000111D7">
              <w:rPr>
                <w:rFonts w:asciiTheme="majorHAnsi" w:hAnsiTheme="majorHAnsi" w:cstheme="majorHAnsi"/>
                <w:sz w:val="20"/>
                <w:szCs w:val="20"/>
              </w:rPr>
              <w:t xml:space="preserve"> I will </w:t>
            </w:r>
            <w:r>
              <w:rPr>
                <w:rFonts w:asciiTheme="majorHAnsi" w:hAnsiTheme="majorHAnsi" w:cstheme="majorHAnsi"/>
                <w:sz w:val="20"/>
                <w:szCs w:val="20"/>
              </w:rPr>
              <w:t>be overweight the sector.</w:t>
            </w:r>
          </w:p>
        </w:tc>
      </w:tr>
      <w:tr w:rsidR="00716689" w14:paraId="64B18777" w14:textId="77777777" w:rsidTr="00E571EB">
        <w:tc>
          <w:tcPr>
            <w:tcW w:w="1728" w:type="dxa"/>
          </w:tcPr>
          <w:p w14:paraId="4C8C585A" w14:textId="77777777" w:rsidR="00716689" w:rsidRPr="00203A36" w:rsidRDefault="00716689" w:rsidP="001373F3">
            <w:pPr>
              <w:spacing w:before="100" w:beforeAutospacing="1" w:after="100" w:afterAutospacing="1"/>
              <w:contextualSpacing/>
              <w:rPr>
                <w:rFonts w:asciiTheme="majorHAnsi" w:hAnsiTheme="majorHAnsi" w:cstheme="majorHAnsi"/>
                <w:b/>
                <w:sz w:val="20"/>
                <w:szCs w:val="20"/>
              </w:rPr>
            </w:pPr>
            <w:r w:rsidRPr="00203A36">
              <w:rPr>
                <w:rFonts w:asciiTheme="majorHAnsi" w:hAnsiTheme="majorHAnsi" w:cstheme="majorHAnsi"/>
                <w:b/>
                <w:sz w:val="20"/>
                <w:szCs w:val="20"/>
              </w:rPr>
              <w:t>Real Estate</w:t>
            </w:r>
          </w:p>
          <w:p w14:paraId="3F265E7F" w14:textId="77777777" w:rsidR="00716689" w:rsidRPr="000111D7" w:rsidRDefault="00716689" w:rsidP="001373F3">
            <w:pPr>
              <w:spacing w:before="100" w:beforeAutospacing="1" w:after="100" w:afterAutospacing="1"/>
              <w:contextualSpacing/>
              <w:rPr>
                <w:rFonts w:asciiTheme="majorHAnsi" w:hAnsiTheme="majorHAnsi" w:cstheme="majorHAnsi"/>
                <w:sz w:val="20"/>
                <w:szCs w:val="20"/>
              </w:rPr>
            </w:pPr>
          </w:p>
        </w:tc>
        <w:tc>
          <w:tcPr>
            <w:tcW w:w="990" w:type="dxa"/>
          </w:tcPr>
          <w:p w14:paraId="3E03F3E5" w14:textId="77777777" w:rsidR="00716689" w:rsidRPr="000111D7" w:rsidRDefault="00353A71" w:rsidP="001373F3">
            <w:pPr>
              <w:pStyle w:val="m-1525758337289540974text"/>
              <w:shd w:val="clear" w:color="auto" w:fill="FFFFFF"/>
              <w:contextualSpacing/>
              <w:rPr>
                <w:rFonts w:asciiTheme="majorHAnsi" w:hAnsiTheme="majorHAnsi" w:cstheme="majorHAnsi"/>
                <w:sz w:val="20"/>
                <w:szCs w:val="20"/>
              </w:rPr>
            </w:pPr>
            <w:r w:rsidRPr="000111D7">
              <w:rPr>
                <w:rFonts w:asciiTheme="majorHAnsi" w:hAnsiTheme="majorHAnsi" w:cstheme="majorHAnsi"/>
                <w:sz w:val="20"/>
                <w:szCs w:val="20"/>
              </w:rPr>
              <w:t>7%</w:t>
            </w:r>
            <w:r>
              <w:rPr>
                <w:rFonts w:asciiTheme="majorHAnsi" w:hAnsiTheme="majorHAnsi" w:cstheme="majorHAnsi"/>
                <w:sz w:val="20"/>
                <w:szCs w:val="20"/>
              </w:rPr>
              <w:t xml:space="preserve"> </w:t>
            </w:r>
            <w:r w:rsidRPr="000111D7">
              <w:rPr>
                <w:rFonts w:asciiTheme="majorHAnsi" w:hAnsiTheme="majorHAnsi" w:cstheme="majorHAnsi"/>
                <w:sz w:val="20"/>
                <w:szCs w:val="20"/>
              </w:rPr>
              <w:t>($63m)</w:t>
            </w:r>
          </w:p>
        </w:tc>
        <w:tc>
          <w:tcPr>
            <w:tcW w:w="6992" w:type="dxa"/>
          </w:tcPr>
          <w:p w14:paraId="38B07627" w14:textId="77777777" w:rsidR="00716689" w:rsidRPr="000111D7" w:rsidRDefault="00FD0DBD" w:rsidP="00FD0DBD">
            <w:pPr>
              <w:pStyle w:val="m-1525758337289540974text"/>
              <w:shd w:val="clear" w:color="auto" w:fill="FFFFFF"/>
              <w:contextualSpacing/>
              <w:rPr>
                <w:rFonts w:asciiTheme="majorHAnsi" w:hAnsiTheme="majorHAnsi" w:cstheme="majorHAnsi"/>
                <w:sz w:val="20"/>
                <w:szCs w:val="20"/>
              </w:rPr>
            </w:pPr>
            <w:r>
              <w:rPr>
                <w:rFonts w:asciiTheme="majorHAnsi" w:hAnsiTheme="majorHAnsi" w:cstheme="majorHAnsi"/>
                <w:sz w:val="20"/>
                <w:szCs w:val="20"/>
              </w:rPr>
              <w:t>Overweight. D</w:t>
            </w:r>
            <w:r w:rsidR="00716689" w:rsidRPr="000111D7">
              <w:rPr>
                <w:rFonts w:asciiTheme="majorHAnsi" w:hAnsiTheme="majorHAnsi" w:cstheme="majorHAnsi"/>
                <w:sz w:val="20"/>
                <w:szCs w:val="20"/>
              </w:rPr>
              <w:t>ue to its structural nature</w:t>
            </w:r>
            <w:r>
              <w:rPr>
                <w:rFonts w:asciiTheme="majorHAnsi" w:hAnsiTheme="majorHAnsi" w:cstheme="majorHAnsi"/>
                <w:sz w:val="20"/>
                <w:szCs w:val="20"/>
              </w:rPr>
              <w:t xml:space="preserve"> (Trusts)</w:t>
            </w:r>
            <w:r w:rsidR="00716689" w:rsidRPr="000111D7">
              <w:rPr>
                <w:rFonts w:asciiTheme="majorHAnsi" w:hAnsiTheme="majorHAnsi" w:cstheme="majorHAnsi"/>
                <w:sz w:val="20"/>
                <w:szCs w:val="20"/>
              </w:rPr>
              <w:t xml:space="preserve">, </w:t>
            </w:r>
            <w:r>
              <w:rPr>
                <w:rFonts w:asciiTheme="majorHAnsi" w:hAnsiTheme="majorHAnsi" w:cstheme="majorHAnsi"/>
                <w:sz w:val="20"/>
                <w:szCs w:val="20"/>
              </w:rPr>
              <w:t>REIT’s provide</w:t>
            </w:r>
            <w:r w:rsidR="00716689" w:rsidRPr="000111D7">
              <w:rPr>
                <w:rFonts w:asciiTheme="majorHAnsi" w:hAnsiTheme="majorHAnsi" w:cstheme="majorHAnsi"/>
                <w:sz w:val="20"/>
                <w:szCs w:val="20"/>
              </w:rPr>
              <w:t xml:space="preserve"> </w:t>
            </w:r>
            <w:r>
              <w:rPr>
                <w:rFonts w:asciiTheme="majorHAnsi" w:hAnsiTheme="majorHAnsi" w:cstheme="majorHAnsi"/>
                <w:sz w:val="20"/>
                <w:szCs w:val="20"/>
              </w:rPr>
              <w:t>great cash flows via dividends and little risk for capital preservation because of the physical assets they own. This, paired with an RBA easing cycle, should benefit my portfolio and act as an outperforming sector.</w:t>
            </w:r>
          </w:p>
        </w:tc>
      </w:tr>
      <w:tr w:rsidR="00716689" w14:paraId="2151F386" w14:textId="77777777" w:rsidTr="00E571EB">
        <w:tc>
          <w:tcPr>
            <w:tcW w:w="1728" w:type="dxa"/>
          </w:tcPr>
          <w:p w14:paraId="09A6BD25" w14:textId="77777777" w:rsidR="00716689" w:rsidRDefault="00716689" w:rsidP="001373F3">
            <w:pPr>
              <w:spacing w:before="100" w:beforeAutospacing="1" w:after="100" w:afterAutospacing="1"/>
              <w:contextualSpacing/>
              <w:rPr>
                <w:rFonts w:asciiTheme="majorHAnsi" w:hAnsiTheme="majorHAnsi" w:cstheme="majorHAnsi"/>
                <w:sz w:val="20"/>
                <w:szCs w:val="20"/>
              </w:rPr>
            </w:pPr>
            <w:r w:rsidRPr="00203A36">
              <w:rPr>
                <w:rFonts w:asciiTheme="majorHAnsi" w:hAnsiTheme="majorHAnsi" w:cstheme="majorHAnsi"/>
                <w:b/>
                <w:sz w:val="20"/>
                <w:szCs w:val="20"/>
              </w:rPr>
              <w:t>Consumer Discretionary</w:t>
            </w:r>
          </w:p>
          <w:p w14:paraId="5CB2F0E8" w14:textId="77777777" w:rsidR="00716689" w:rsidRPr="000111D7" w:rsidRDefault="00716689" w:rsidP="001373F3">
            <w:pPr>
              <w:spacing w:before="100" w:beforeAutospacing="1" w:after="100" w:afterAutospacing="1"/>
              <w:contextualSpacing/>
              <w:rPr>
                <w:rFonts w:asciiTheme="majorHAnsi" w:hAnsiTheme="majorHAnsi" w:cstheme="majorHAnsi"/>
                <w:sz w:val="20"/>
                <w:szCs w:val="20"/>
              </w:rPr>
            </w:pPr>
          </w:p>
        </w:tc>
        <w:tc>
          <w:tcPr>
            <w:tcW w:w="990" w:type="dxa"/>
          </w:tcPr>
          <w:p w14:paraId="57D0E486" w14:textId="77777777" w:rsidR="00716689" w:rsidRPr="000111D7" w:rsidRDefault="00353A71" w:rsidP="001373F3">
            <w:pPr>
              <w:pStyle w:val="m-1525758337289540974text"/>
              <w:shd w:val="clear" w:color="auto" w:fill="FFFFFF"/>
              <w:contextualSpacing/>
              <w:rPr>
                <w:rFonts w:asciiTheme="majorHAnsi" w:hAnsiTheme="majorHAnsi" w:cstheme="majorHAnsi"/>
                <w:sz w:val="20"/>
                <w:szCs w:val="20"/>
              </w:rPr>
            </w:pPr>
            <w:r w:rsidRPr="000111D7">
              <w:rPr>
                <w:rFonts w:asciiTheme="majorHAnsi" w:hAnsiTheme="majorHAnsi" w:cstheme="majorHAnsi"/>
                <w:sz w:val="20"/>
                <w:szCs w:val="20"/>
              </w:rPr>
              <w:t>4%</w:t>
            </w:r>
            <w:r>
              <w:rPr>
                <w:rFonts w:asciiTheme="majorHAnsi" w:hAnsiTheme="majorHAnsi" w:cstheme="majorHAnsi"/>
                <w:sz w:val="20"/>
                <w:szCs w:val="20"/>
              </w:rPr>
              <w:t xml:space="preserve"> </w:t>
            </w:r>
            <w:r w:rsidRPr="000111D7">
              <w:rPr>
                <w:rFonts w:asciiTheme="majorHAnsi" w:hAnsiTheme="majorHAnsi" w:cstheme="majorHAnsi"/>
                <w:sz w:val="20"/>
                <w:szCs w:val="20"/>
              </w:rPr>
              <w:t>($36m)</w:t>
            </w:r>
          </w:p>
        </w:tc>
        <w:tc>
          <w:tcPr>
            <w:tcW w:w="6992" w:type="dxa"/>
          </w:tcPr>
          <w:p w14:paraId="03DBC645" w14:textId="77777777" w:rsidR="00716689" w:rsidRPr="000111D7" w:rsidRDefault="00FD0DBD" w:rsidP="001C773C">
            <w:pPr>
              <w:pStyle w:val="m-1525758337289540974text"/>
              <w:shd w:val="clear" w:color="auto" w:fill="FFFFFF"/>
              <w:contextualSpacing/>
              <w:rPr>
                <w:rFonts w:asciiTheme="majorHAnsi" w:hAnsiTheme="majorHAnsi" w:cstheme="majorHAnsi"/>
                <w:sz w:val="20"/>
                <w:szCs w:val="20"/>
              </w:rPr>
            </w:pPr>
            <w:r>
              <w:rPr>
                <w:rFonts w:asciiTheme="majorHAnsi" w:hAnsiTheme="majorHAnsi" w:cstheme="majorHAnsi"/>
                <w:sz w:val="20"/>
                <w:szCs w:val="20"/>
              </w:rPr>
              <w:t xml:space="preserve">Overweight. </w:t>
            </w:r>
            <w:r w:rsidR="001C773C">
              <w:rPr>
                <w:rFonts w:asciiTheme="majorHAnsi" w:hAnsiTheme="majorHAnsi" w:cstheme="majorHAnsi"/>
                <w:sz w:val="20"/>
                <w:szCs w:val="20"/>
              </w:rPr>
              <w:t>C</w:t>
            </w:r>
            <w:r w:rsidR="0057108D">
              <w:rPr>
                <w:rFonts w:asciiTheme="majorHAnsi" w:hAnsiTheme="majorHAnsi" w:cstheme="majorHAnsi"/>
                <w:sz w:val="20"/>
                <w:szCs w:val="20"/>
              </w:rPr>
              <w:t>onsumer</w:t>
            </w:r>
            <w:r w:rsidR="00716689" w:rsidRPr="000111D7">
              <w:rPr>
                <w:rFonts w:asciiTheme="majorHAnsi" w:hAnsiTheme="majorHAnsi" w:cstheme="majorHAnsi"/>
                <w:sz w:val="20"/>
                <w:szCs w:val="20"/>
              </w:rPr>
              <w:t xml:space="preserve"> spending can be analysed via multiple macro-economic factors. As I believe the RBA is in </w:t>
            </w:r>
            <w:r w:rsidR="001C773C">
              <w:rPr>
                <w:rFonts w:asciiTheme="majorHAnsi" w:hAnsiTheme="majorHAnsi" w:cstheme="majorHAnsi"/>
                <w:sz w:val="20"/>
                <w:szCs w:val="20"/>
              </w:rPr>
              <w:t>an easing</w:t>
            </w:r>
            <w:r w:rsidR="00716689" w:rsidRPr="000111D7">
              <w:rPr>
                <w:rFonts w:asciiTheme="majorHAnsi" w:hAnsiTheme="majorHAnsi" w:cstheme="majorHAnsi"/>
                <w:sz w:val="20"/>
                <w:szCs w:val="20"/>
              </w:rPr>
              <w:t xml:space="preserve"> cycle and therefore attempting to boost the economy and consumer spending, </w:t>
            </w:r>
            <w:r w:rsidR="001C773C">
              <w:rPr>
                <w:rFonts w:asciiTheme="majorHAnsi" w:hAnsiTheme="majorHAnsi" w:cstheme="majorHAnsi"/>
                <w:sz w:val="20"/>
                <w:szCs w:val="20"/>
              </w:rPr>
              <w:t>an</w:t>
            </w:r>
            <w:r w:rsidR="00716689" w:rsidRPr="000111D7">
              <w:rPr>
                <w:rFonts w:asciiTheme="majorHAnsi" w:hAnsiTheme="majorHAnsi" w:cstheme="majorHAnsi"/>
                <w:sz w:val="20"/>
                <w:szCs w:val="20"/>
              </w:rPr>
              <w:t xml:space="preserve"> overweight</w:t>
            </w:r>
            <w:r w:rsidR="001C773C">
              <w:rPr>
                <w:rFonts w:asciiTheme="majorHAnsi" w:hAnsiTheme="majorHAnsi" w:cstheme="majorHAnsi"/>
                <w:sz w:val="20"/>
                <w:szCs w:val="20"/>
              </w:rPr>
              <w:t xml:space="preserve"> allocation is an appropriate way </w:t>
            </w:r>
            <w:r w:rsidR="00716689" w:rsidRPr="000111D7">
              <w:rPr>
                <w:rFonts w:asciiTheme="majorHAnsi" w:hAnsiTheme="majorHAnsi" w:cstheme="majorHAnsi"/>
                <w:sz w:val="20"/>
                <w:szCs w:val="20"/>
              </w:rPr>
              <w:t xml:space="preserve">to benefit from the </w:t>
            </w:r>
            <w:r w:rsidR="001C773C">
              <w:rPr>
                <w:rFonts w:asciiTheme="majorHAnsi" w:hAnsiTheme="majorHAnsi" w:cstheme="majorHAnsi"/>
                <w:sz w:val="20"/>
                <w:szCs w:val="20"/>
              </w:rPr>
              <w:t>current economic climate</w:t>
            </w:r>
          </w:p>
        </w:tc>
      </w:tr>
      <w:tr w:rsidR="00716689" w14:paraId="2F7B9EF5" w14:textId="77777777" w:rsidTr="00E571EB">
        <w:tc>
          <w:tcPr>
            <w:tcW w:w="1728" w:type="dxa"/>
          </w:tcPr>
          <w:p w14:paraId="5FF826D5" w14:textId="77777777" w:rsidR="00716689" w:rsidRPr="00203A36" w:rsidRDefault="00716689" w:rsidP="001373F3">
            <w:pPr>
              <w:spacing w:before="100" w:beforeAutospacing="1" w:after="100" w:afterAutospacing="1"/>
              <w:contextualSpacing/>
              <w:rPr>
                <w:rFonts w:asciiTheme="majorHAnsi" w:hAnsiTheme="majorHAnsi" w:cstheme="majorHAnsi"/>
                <w:b/>
                <w:sz w:val="20"/>
                <w:szCs w:val="20"/>
              </w:rPr>
            </w:pPr>
            <w:r w:rsidRPr="00203A36">
              <w:rPr>
                <w:rFonts w:asciiTheme="majorHAnsi" w:hAnsiTheme="majorHAnsi" w:cstheme="majorHAnsi"/>
                <w:b/>
                <w:sz w:val="20"/>
                <w:szCs w:val="20"/>
              </w:rPr>
              <w:t>Consumer Staples</w:t>
            </w:r>
          </w:p>
          <w:p w14:paraId="4DF69A56" w14:textId="77777777" w:rsidR="00716689" w:rsidRDefault="00716689" w:rsidP="001373F3">
            <w:pPr>
              <w:spacing w:before="100" w:beforeAutospacing="1" w:after="100" w:afterAutospacing="1"/>
              <w:contextualSpacing/>
              <w:rPr>
                <w:rFonts w:asciiTheme="majorHAnsi" w:hAnsiTheme="majorHAnsi" w:cstheme="majorHAnsi"/>
                <w:b/>
                <w:sz w:val="20"/>
                <w:szCs w:val="20"/>
                <w:u w:val="single"/>
              </w:rPr>
            </w:pPr>
          </w:p>
        </w:tc>
        <w:tc>
          <w:tcPr>
            <w:tcW w:w="990" w:type="dxa"/>
          </w:tcPr>
          <w:p w14:paraId="088BB0BC" w14:textId="77777777" w:rsidR="00716689" w:rsidRPr="000111D7" w:rsidRDefault="00353A71" w:rsidP="001373F3">
            <w:pPr>
              <w:pStyle w:val="m-1525758337289540974text"/>
              <w:shd w:val="clear" w:color="auto" w:fill="FFFFFF"/>
              <w:contextualSpacing/>
              <w:rPr>
                <w:rFonts w:asciiTheme="majorHAnsi" w:hAnsiTheme="majorHAnsi" w:cstheme="majorHAnsi"/>
                <w:sz w:val="20"/>
                <w:szCs w:val="20"/>
              </w:rPr>
            </w:pPr>
            <w:r w:rsidRPr="000111D7">
              <w:rPr>
                <w:rFonts w:asciiTheme="majorHAnsi" w:hAnsiTheme="majorHAnsi" w:cstheme="majorHAnsi"/>
                <w:sz w:val="20"/>
                <w:szCs w:val="20"/>
              </w:rPr>
              <w:t>8%</w:t>
            </w:r>
            <w:r>
              <w:rPr>
                <w:rFonts w:asciiTheme="majorHAnsi" w:hAnsiTheme="majorHAnsi" w:cstheme="majorHAnsi"/>
                <w:sz w:val="20"/>
                <w:szCs w:val="20"/>
              </w:rPr>
              <w:t xml:space="preserve"> </w:t>
            </w:r>
            <w:r w:rsidRPr="000111D7">
              <w:rPr>
                <w:rFonts w:asciiTheme="majorHAnsi" w:hAnsiTheme="majorHAnsi" w:cstheme="majorHAnsi"/>
                <w:sz w:val="20"/>
                <w:szCs w:val="20"/>
              </w:rPr>
              <w:t>($72m)</w:t>
            </w:r>
          </w:p>
        </w:tc>
        <w:tc>
          <w:tcPr>
            <w:tcW w:w="6992" w:type="dxa"/>
          </w:tcPr>
          <w:p w14:paraId="7207C774" w14:textId="77777777" w:rsidR="00716689" w:rsidRPr="000111D7" w:rsidRDefault="00716689" w:rsidP="001373F3">
            <w:pPr>
              <w:pStyle w:val="m-1525758337289540974text"/>
              <w:shd w:val="clear" w:color="auto" w:fill="FFFFFF"/>
              <w:contextualSpacing/>
              <w:rPr>
                <w:rFonts w:asciiTheme="majorHAnsi" w:hAnsiTheme="majorHAnsi" w:cstheme="majorHAnsi"/>
                <w:sz w:val="20"/>
                <w:szCs w:val="20"/>
              </w:rPr>
            </w:pPr>
            <w:r w:rsidRPr="000111D7">
              <w:rPr>
                <w:rFonts w:asciiTheme="majorHAnsi" w:hAnsiTheme="majorHAnsi" w:cstheme="majorHAnsi"/>
                <w:sz w:val="20"/>
                <w:szCs w:val="20"/>
              </w:rPr>
              <w:t>Neutral</w:t>
            </w:r>
            <w:r w:rsidR="001C773C">
              <w:rPr>
                <w:rFonts w:asciiTheme="majorHAnsi" w:hAnsiTheme="majorHAnsi" w:cstheme="majorHAnsi"/>
                <w:sz w:val="20"/>
                <w:szCs w:val="20"/>
              </w:rPr>
              <w:t>. Staple sector is one that tracks inflation and various other micro-economic factors.</w:t>
            </w:r>
            <w:r w:rsidR="00A67FD5">
              <w:rPr>
                <w:rFonts w:asciiTheme="majorHAnsi" w:hAnsiTheme="majorHAnsi" w:cstheme="majorHAnsi"/>
                <w:sz w:val="20"/>
                <w:szCs w:val="20"/>
              </w:rPr>
              <w:t xml:space="preserve"> Keeping a neutral weighting could offset the risk that the RBA does not ease substantially.</w:t>
            </w:r>
          </w:p>
        </w:tc>
      </w:tr>
      <w:tr w:rsidR="00716689" w14:paraId="09E6B8CF" w14:textId="77777777" w:rsidTr="00E571EB">
        <w:tc>
          <w:tcPr>
            <w:tcW w:w="1728" w:type="dxa"/>
          </w:tcPr>
          <w:p w14:paraId="348DF38C" w14:textId="77777777" w:rsidR="00716689" w:rsidRPr="00203A36" w:rsidRDefault="00716689" w:rsidP="001373F3">
            <w:pPr>
              <w:pStyle w:val="m-1525758337289540974text"/>
              <w:shd w:val="clear" w:color="auto" w:fill="FFFFFF"/>
              <w:contextualSpacing/>
              <w:rPr>
                <w:rFonts w:asciiTheme="majorHAnsi" w:hAnsiTheme="majorHAnsi" w:cstheme="majorHAnsi"/>
                <w:b/>
                <w:sz w:val="20"/>
                <w:szCs w:val="20"/>
              </w:rPr>
            </w:pPr>
            <w:r w:rsidRPr="00203A36">
              <w:rPr>
                <w:rFonts w:asciiTheme="majorHAnsi" w:hAnsiTheme="majorHAnsi" w:cstheme="majorHAnsi"/>
                <w:b/>
                <w:sz w:val="20"/>
                <w:szCs w:val="20"/>
              </w:rPr>
              <w:t>Energy</w:t>
            </w:r>
          </w:p>
          <w:p w14:paraId="44C513D5" w14:textId="77777777" w:rsidR="00716689" w:rsidRPr="000111D7" w:rsidRDefault="00716689" w:rsidP="001373F3">
            <w:pPr>
              <w:pStyle w:val="m-1525758337289540974text"/>
              <w:shd w:val="clear" w:color="auto" w:fill="FFFFFF"/>
              <w:contextualSpacing/>
              <w:rPr>
                <w:rFonts w:asciiTheme="majorHAnsi" w:hAnsiTheme="majorHAnsi" w:cstheme="majorHAnsi"/>
                <w:sz w:val="20"/>
                <w:szCs w:val="20"/>
              </w:rPr>
            </w:pPr>
          </w:p>
        </w:tc>
        <w:tc>
          <w:tcPr>
            <w:tcW w:w="990" w:type="dxa"/>
          </w:tcPr>
          <w:p w14:paraId="5796A147" w14:textId="77777777" w:rsidR="00716689" w:rsidRPr="000111D7" w:rsidRDefault="00353A71" w:rsidP="001373F3">
            <w:pPr>
              <w:pStyle w:val="m-1525758337289540974text"/>
              <w:shd w:val="clear" w:color="auto" w:fill="FFFFFF"/>
              <w:contextualSpacing/>
              <w:rPr>
                <w:rFonts w:asciiTheme="majorHAnsi" w:hAnsiTheme="majorHAnsi" w:cstheme="majorHAnsi"/>
                <w:sz w:val="20"/>
                <w:szCs w:val="20"/>
              </w:rPr>
            </w:pPr>
            <w:r w:rsidRPr="000111D7">
              <w:rPr>
                <w:rFonts w:asciiTheme="majorHAnsi" w:hAnsiTheme="majorHAnsi" w:cstheme="majorHAnsi"/>
                <w:sz w:val="20"/>
                <w:szCs w:val="20"/>
              </w:rPr>
              <w:t>4%</w:t>
            </w:r>
            <w:r>
              <w:rPr>
                <w:rFonts w:asciiTheme="majorHAnsi" w:hAnsiTheme="majorHAnsi" w:cstheme="majorHAnsi"/>
                <w:sz w:val="20"/>
                <w:szCs w:val="20"/>
              </w:rPr>
              <w:t xml:space="preserve"> </w:t>
            </w:r>
            <w:r w:rsidRPr="000111D7">
              <w:rPr>
                <w:rFonts w:asciiTheme="majorHAnsi" w:hAnsiTheme="majorHAnsi" w:cstheme="majorHAnsi"/>
                <w:sz w:val="20"/>
                <w:szCs w:val="20"/>
              </w:rPr>
              <w:t>($36m)</w:t>
            </w:r>
          </w:p>
        </w:tc>
        <w:tc>
          <w:tcPr>
            <w:tcW w:w="6992" w:type="dxa"/>
          </w:tcPr>
          <w:p w14:paraId="48B604E6" w14:textId="77777777" w:rsidR="00716689" w:rsidRPr="000111D7" w:rsidRDefault="00716689" w:rsidP="00A67FD5">
            <w:pPr>
              <w:pStyle w:val="m-1525758337289540974text"/>
              <w:shd w:val="clear" w:color="auto" w:fill="FFFFFF"/>
              <w:contextualSpacing/>
              <w:rPr>
                <w:rFonts w:asciiTheme="majorHAnsi" w:hAnsiTheme="majorHAnsi" w:cstheme="majorHAnsi"/>
                <w:sz w:val="20"/>
                <w:szCs w:val="20"/>
              </w:rPr>
            </w:pPr>
            <w:r w:rsidRPr="000111D7">
              <w:rPr>
                <w:rFonts w:asciiTheme="majorHAnsi" w:hAnsiTheme="majorHAnsi" w:cstheme="majorHAnsi"/>
                <w:sz w:val="20"/>
                <w:szCs w:val="20"/>
              </w:rPr>
              <w:t xml:space="preserve">The Energy sector is dictated by price movements </w:t>
            </w:r>
            <w:r w:rsidR="00A67FD5">
              <w:rPr>
                <w:rFonts w:asciiTheme="majorHAnsi" w:hAnsiTheme="majorHAnsi" w:cstheme="majorHAnsi"/>
                <w:sz w:val="20"/>
                <w:szCs w:val="20"/>
              </w:rPr>
              <w:t>in physical energy products</w:t>
            </w:r>
            <w:r w:rsidR="00A67FD5" w:rsidRPr="000111D7">
              <w:rPr>
                <w:rFonts w:asciiTheme="majorHAnsi" w:hAnsiTheme="majorHAnsi" w:cstheme="majorHAnsi"/>
                <w:sz w:val="20"/>
                <w:szCs w:val="20"/>
              </w:rPr>
              <w:t>.</w:t>
            </w:r>
            <w:r w:rsidR="00A67FD5">
              <w:rPr>
                <w:rFonts w:asciiTheme="majorHAnsi" w:hAnsiTheme="majorHAnsi" w:cstheme="majorHAnsi"/>
                <w:sz w:val="20"/>
                <w:szCs w:val="20"/>
              </w:rPr>
              <w:t xml:space="preserve"> The sector is extremely volatile and without a clear indication of where physical prices are going, the sector remains a capital preservation risk.</w:t>
            </w:r>
            <w:r w:rsidRPr="000111D7">
              <w:rPr>
                <w:rFonts w:asciiTheme="majorHAnsi" w:hAnsiTheme="majorHAnsi" w:cstheme="majorHAnsi"/>
                <w:sz w:val="20"/>
                <w:szCs w:val="20"/>
              </w:rPr>
              <w:t xml:space="preserve"> As a result, I will be neutral weighted in Energy.</w:t>
            </w:r>
          </w:p>
        </w:tc>
      </w:tr>
      <w:tr w:rsidR="00716689" w14:paraId="3BC7611E" w14:textId="77777777" w:rsidTr="00E571EB">
        <w:tc>
          <w:tcPr>
            <w:tcW w:w="1728" w:type="dxa"/>
          </w:tcPr>
          <w:p w14:paraId="734C9B16" w14:textId="77777777" w:rsidR="00716689" w:rsidRPr="00203A36" w:rsidRDefault="00716689" w:rsidP="001373F3">
            <w:pPr>
              <w:pStyle w:val="m-1525758337289540974text"/>
              <w:shd w:val="clear" w:color="auto" w:fill="FFFFFF"/>
              <w:contextualSpacing/>
              <w:rPr>
                <w:rFonts w:asciiTheme="majorHAnsi" w:hAnsiTheme="majorHAnsi" w:cstheme="majorHAnsi"/>
                <w:b/>
                <w:sz w:val="20"/>
                <w:szCs w:val="20"/>
              </w:rPr>
            </w:pPr>
            <w:r w:rsidRPr="00203A36">
              <w:rPr>
                <w:rFonts w:asciiTheme="majorHAnsi" w:hAnsiTheme="majorHAnsi" w:cstheme="majorHAnsi"/>
                <w:b/>
                <w:sz w:val="20"/>
                <w:szCs w:val="20"/>
              </w:rPr>
              <w:t>Communication Services</w:t>
            </w:r>
          </w:p>
          <w:p w14:paraId="5CE69C8B" w14:textId="77777777" w:rsidR="00716689" w:rsidRPr="000111D7" w:rsidRDefault="00716689" w:rsidP="001373F3">
            <w:pPr>
              <w:pStyle w:val="m-1525758337289540974text"/>
              <w:shd w:val="clear" w:color="auto" w:fill="FFFFFF"/>
              <w:contextualSpacing/>
              <w:rPr>
                <w:rFonts w:asciiTheme="majorHAnsi" w:hAnsiTheme="majorHAnsi" w:cstheme="majorHAnsi"/>
                <w:sz w:val="20"/>
                <w:szCs w:val="20"/>
              </w:rPr>
            </w:pPr>
          </w:p>
        </w:tc>
        <w:tc>
          <w:tcPr>
            <w:tcW w:w="990" w:type="dxa"/>
          </w:tcPr>
          <w:p w14:paraId="16105C96" w14:textId="77777777" w:rsidR="00716689" w:rsidRPr="000111D7" w:rsidRDefault="00353A71" w:rsidP="001373F3">
            <w:pPr>
              <w:pStyle w:val="m-1525758337289540974text"/>
              <w:shd w:val="clear" w:color="auto" w:fill="FFFFFF"/>
              <w:contextualSpacing/>
              <w:rPr>
                <w:rFonts w:asciiTheme="majorHAnsi" w:hAnsiTheme="majorHAnsi" w:cstheme="majorHAnsi"/>
                <w:sz w:val="20"/>
                <w:szCs w:val="20"/>
              </w:rPr>
            </w:pPr>
            <w:r w:rsidRPr="000111D7">
              <w:rPr>
                <w:rFonts w:asciiTheme="majorHAnsi" w:hAnsiTheme="majorHAnsi" w:cstheme="majorHAnsi"/>
                <w:sz w:val="20"/>
                <w:szCs w:val="20"/>
              </w:rPr>
              <w:t>2%</w:t>
            </w:r>
            <w:r>
              <w:rPr>
                <w:rFonts w:asciiTheme="majorHAnsi" w:hAnsiTheme="majorHAnsi" w:cstheme="majorHAnsi"/>
                <w:sz w:val="20"/>
                <w:szCs w:val="20"/>
              </w:rPr>
              <w:t xml:space="preserve"> </w:t>
            </w:r>
            <w:r w:rsidRPr="000111D7">
              <w:rPr>
                <w:rFonts w:asciiTheme="majorHAnsi" w:hAnsiTheme="majorHAnsi" w:cstheme="majorHAnsi"/>
                <w:sz w:val="20"/>
                <w:szCs w:val="20"/>
              </w:rPr>
              <w:t>($18m)</w:t>
            </w:r>
          </w:p>
        </w:tc>
        <w:tc>
          <w:tcPr>
            <w:tcW w:w="6992" w:type="dxa"/>
          </w:tcPr>
          <w:p w14:paraId="0CBCA30A" w14:textId="77777777" w:rsidR="00716689" w:rsidRPr="000111D7" w:rsidRDefault="00716689" w:rsidP="001373F3">
            <w:pPr>
              <w:pStyle w:val="m-1525758337289540974text"/>
              <w:shd w:val="clear" w:color="auto" w:fill="FFFFFF"/>
              <w:contextualSpacing/>
              <w:rPr>
                <w:rFonts w:asciiTheme="majorHAnsi" w:hAnsiTheme="majorHAnsi" w:cstheme="majorHAnsi"/>
                <w:sz w:val="20"/>
                <w:szCs w:val="20"/>
              </w:rPr>
            </w:pPr>
            <w:r w:rsidRPr="000111D7">
              <w:rPr>
                <w:rFonts w:asciiTheme="majorHAnsi" w:hAnsiTheme="majorHAnsi" w:cstheme="majorHAnsi"/>
                <w:sz w:val="20"/>
                <w:szCs w:val="20"/>
              </w:rPr>
              <w:t>Neutral.</w:t>
            </w:r>
            <w:r w:rsidR="00A67FD5">
              <w:rPr>
                <w:rFonts w:asciiTheme="majorHAnsi" w:hAnsiTheme="majorHAnsi" w:cstheme="majorHAnsi"/>
                <w:sz w:val="20"/>
                <w:szCs w:val="20"/>
              </w:rPr>
              <w:t xml:space="preserve"> Stability of the Communication sector is attractive. However, it does not account for a large proportion of the index and therefore one would have to be extremely overweight or underweight for its performance to affect the portfolio. As a result, we will remain neutral to allocate funds elsewhere.</w:t>
            </w:r>
          </w:p>
        </w:tc>
      </w:tr>
      <w:tr w:rsidR="00716689" w14:paraId="4AA162B9" w14:textId="77777777" w:rsidTr="00E571EB">
        <w:tc>
          <w:tcPr>
            <w:tcW w:w="1728" w:type="dxa"/>
          </w:tcPr>
          <w:p w14:paraId="6AE5955C" w14:textId="77777777" w:rsidR="00716689" w:rsidRPr="00203A36" w:rsidRDefault="00716689" w:rsidP="001373F3">
            <w:pPr>
              <w:pStyle w:val="m-1525758337289540974text"/>
              <w:shd w:val="clear" w:color="auto" w:fill="FFFFFF"/>
              <w:contextualSpacing/>
              <w:rPr>
                <w:rFonts w:asciiTheme="majorHAnsi" w:hAnsiTheme="majorHAnsi" w:cstheme="majorHAnsi"/>
                <w:b/>
                <w:sz w:val="20"/>
                <w:szCs w:val="20"/>
              </w:rPr>
            </w:pPr>
            <w:r w:rsidRPr="00203A36">
              <w:rPr>
                <w:rFonts w:asciiTheme="majorHAnsi" w:hAnsiTheme="majorHAnsi" w:cstheme="majorHAnsi"/>
                <w:b/>
                <w:sz w:val="20"/>
                <w:szCs w:val="20"/>
              </w:rPr>
              <w:t xml:space="preserve">IT </w:t>
            </w:r>
          </w:p>
          <w:p w14:paraId="049FE5FC" w14:textId="77777777" w:rsidR="00716689" w:rsidRPr="000111D7" w:rsidRDefault="00716689" w:rsidP="001373F3">
            <w:pPr>
              <w:pStyle w:val="m-1525758337289540974text"/>
              <w:shd w:val="clear" w:color="auto" w:fill="FFFFFF"/>
              <w:contextualSpacing/>
              <w:rPr>
                <w:rFonts w:asciiTheme="majorHAnsi" w:hAnsiTheme="majorHAnsi" w:cstheme="majorHAnsi"/>
                <w:sz w:val="20"/>
                <w:szCs w:val="20"/>
              </w:rPr>
            </w:pPr>
          </w:p>
        </w:tc>
        <w:tc>
          <w:tcPr>
            <w:tcW w:w="990" w:type="dxa"/>
          </w:tcPr>
          <w:p w14:paraId="054695E5" w14:textId="77777777" w:rsidR="00353A71" w:rsidRPr="000111D7" w:rsidRDefault="00353A71" w:rsidP="001373F3">
            <w:pPr>
              <w:pStyle w:val="m-1525758337289540974text"/>
              <w:shd w:val="clear" w:color="auto" w:fill="FFFFFF"/>
              <w:contextualSpacing/>
              <w:rPr>
                <w:rFonts w:asciiTheme="majorHAnsi" w:hAnsiTheme="majorHAnsi" w:cstheme="majorHAnsi"/>
                <w:sz w:val="20"/>
                <w:szCs w:val="20"/>
              </w:rPr>
            </w:pPr>
            <w:r w:rsidRPr="000111D7">
              <w:rPr>
                <w:rFonts w:asciiTheme="majorHAnsi" w:hAnsiTheme="majorHAnsi" w:cstheme="majorHAnsi"/>
                <w:sz w:val="20"/>
                <w:szCs w:val="20"/>
              </w:rPr>
              <w:t>1%</w:t>
            </w:r>
            <w:r>
              <w:rPr>
                <w:rFonts w:asciiTheme="majorHAnsi" w:hAnsiTheme="majorHAnsi" w:cstheme="majorHAnsi"/>
                <w:sz w:val="20"/>
                <w:szCs w:val="20"/>
              </w:rPr>
              <w:t xml:space="preserve"> </w:t>
            </w:r>
            <w:r w:rsidRPr="000111D7">
              <w:rPr>
                <w:rFonts w:asciiTheme="majorHAnsi" w:hAnsiTheme="majorHAnsi" w:cstheme="majorHAnsi"/>
                <w:sz w:val="20"/>
                <w:szCs w:val="20"/>
              </w:rPr>
              <w:t>($9m)</w:t>
            </w:r>
          </w:p>
          <w:p w14:paraId="7FF11F25" w14:textId="77777777" w:rsidR="00716689" w:rsidRPr="000111D7" w:rsidRDefault="00716689" w:rsidP="001373F3">
            <w:pPr>
              <w:pStyle w:val="m-1525758337289540974text"/>
              <w:shd w:val="clear" w:color="auto" w:fill="FFFFFF"/>
              <w:contextualSpacing/>
              <w:rPr>
                <w:rFonts w:asciiTheme="majorHAnsi" w:hAnsiTheme="majorHAnsi" w:cstheme="majorHAnsi"/>
                <w:sz w:val="20"/>
                <w:szCs w:val="20"/>
              </w:rPr>
            </w:pPr>
          </w:p>
        </w:tc>
        <w:tc>
          <w:tcPr>
            <w:tcW w:w="6992" w:type="dxa"/>
          </w:tcPr>
          <w:p w14:paraId="6044CE0B" w14:textId="77777777" w:rsidR="00716689" w:rsidRPr="000111D7" w:rsidRDefault="00716689" w:rsidP="001373F3">
            <w:pPr>
              <w:pStyle w:val="m-1525758337289540974text"/>
              <w:shd w:val="clear" w:color="auto" w:fill="FFFFFF"/>
              <w:contextualSpacing/>
              <w:rPr>
                <w:rFonts w:asciiTheme="majorHAnsi" w:hAnsiTheme="majorHAnsi" w:cstheme="majorHAnsi"/>
                <w:sz w:val="20"/>
                <w:szCs w:val="20"/>
              </w:rPr>
            </w:pPr>
            <w:r w:rsidRPr="000111D7">
              <w:rPr>
                <w:rFonts w:asciiTheme="majorHAnsi" w:hAnsiTheme="majorHAnsi" w:cstheme="majorHAnsi"/>
                <w:sz w:val="20"/>
                <w:szCs w:val="20"/>
              </w:rPr>
              <w:t xml:space="preserve">Due to the nature of IT companies, the IT sector does not provide a dividend yield. Instead, the sector purely provides an opportunity for capital returns. Whilst the sector is only 1% of the index, one can be significantly overweight or underweight the sector to generate outperformance. </w:t>
            </w:r>
            <w:r w:rsidR="0057108D">
              <w:rPr>
                <w:rFonts w:asciiTheme="majorHAnsi" w:hAnsiTheme="majorHAnsi" w:cstheme="majorHAnsi"/>
                <w:sz w:val="20"/>
                <w:szCs w:val="20"/>
              </w:rPr>
              <w:t xml:space="preserve">Although I believe the </w:t>
            </w:r>
            <w:r w:rsidRPr="000111D7">
              <w:rPr>
                <w:rFonts w:asciiTheme="majorHAnsi" w:hAnsiTheme="majorHAnsi" w:cstheme="majorHAnsi"/>
                <w:sz w:val="20"/>
                <w:szCs w:val="20"/>
              </w:rPr>
              <w:t xml:space="preserve">IT sector will continue to experience capital returns, this type of investing does not suit my client’s needs, which </w:t>
            </w:r>
            <w:r w:rsidR="0057108D">
              <w:rPr>
                <w:rFonts w:asciiTheme="majorHAnsi" w:hAnsiTheme="majorHAnsi" w:cstheme="majorHAnsi"/>
                <w:sz w:val="20"/>
                <w:szCs w:val="20"/>
              </w:rPr>
              <w:t>is</w:t>
            </w:r>
            <w:r w:rsidRPr="000111D7">
              <w:rPr>
                <w:rFonts w:asciiTheme="majorHAnsi" w:hAnsiTheme="majorHAnsi" w:cstheme="majorHAnsi"/>
                <w:sz w:val="20"/>
                <w:szCs w:val="20"/>
              </w:rPr>
              <w:t xml:space="preserve"> more focused </w:t>
            </w:r>
            <w:r w:rsidR="0057108D">
              <w:rPr>
                <w:rFonts w:asciiTheme="majorHAnsi" w:hAnsiTheme="majorHAnsi" w:cstheme="majorHAnsi"/>
                <w:sz w:val="20"/>
                <w:szCs w:val="20"/>
              </w:rPr>
              <w:t>on</w:t>
            </w:r>
            <w:r w:rsidRPr="000111D7">
              <w:rPr>
                <w:rFonts w:asciiTheme="majorHAnsi" w:hAnsiTheme="majorHAnsi" w:cstheme="majorHAnsi"/>
                <w:sz w:val="20"/>
                <w:szCs w:val="20"/>
              </w:rPr>
              <w:t xml:space="preserve"> cash inflows and capital preservation</w:t>
            </w:r>
            <w:r w:rsidR="002D2D35">
              <w:rPr>
                <w:rFonts w:asciiTheme="majorHAnsi" w:hAnsiTheme="majorHAnsi" w:cstheme="majorHAnsi"/>
                <w:sz w:val="20"/>
                <w:szCs w:val="20"/>
              </w:rPr>
              <w:t xml:space="preserve">, </w:t>
            </w:r>
            <w:r w:rsidR="00A67FD5">
              <w:rPr>
                <w:rFonts w:asciiTheme="majorHAnsi" w:hAnsiTheme="majorHAnsi" w:cstheme="majorHAnsi"/>
                <w:sz w:val="20"/>
                <w:szCs w:val="20"/>
              </w:rPr>
              <w:t>and so</w:t>
            </w:r>
            <w:r w:rsidR="002D2D35">
              <w:rPr>
                <w:rFonts w:asciiTheme="majorHAnsi" w:hAnsiTheme="majorHAnsi" w:cstheme="majorHAnsi"/>
                <w:sz w:val="20"/>
                <w:szCs w:val="20"/>
              </w:rPr>
              <w:t xml:space="preserve"> I recommend remaining neutral.</w:t>
            </w:r>
          </w:p>
        </w:tc>
      </w:tr>
      <w:tr w:rsidR="00716689" w14:paraId="41EA8808" w14:textId="77777777" w:rsidTr="00E571EB">
        <w:tc>
          <w:tcPr>
            <w:tcW w:w="1728" w:type="dxa"/>
          </w:tcPr>
          <w:p w14:paraId="2C552E2C" w14:textId="77777777" w:rsidR="00716689" w:rsidRPr="000111D7" w:rsidRDefault="00716689" w:rsidP="001373F3">
            <w:pPr>
              <w:pStyle w:val="m-1525758337289540974text"/>
              <w:shd w:val="clear" w:color="auto" w:fill="FFFFFF"/>
              <w:contextualSpacing/>
              <w:rPr>
                <w:rFonts w:asciiTheme="majorHAnsi" w:hAnsiTheme="majorHAnsi" w:cstheme="majorHAnsi"/>
                <w:sz w:val="20"/>
                <w:szCs w:val="20"/>
              </w:rPr>
            </w:pPr>
            <w:r w:rsidRPr="00203A36">
              <w:rPr>
                <w:rFonts w:asciiTheme="majorHAnsi" w:hAnsiTheme="majorHAnsi" w:cstheme="majorHAnsi"/>
                <w:b/>
                <w:sz w:val="20"/>
                <w:szCs w:val="20"/>
              </w:rPr>
              <w:t xml:space="preserve">Utilities </w:t>
            </w:r>
          </w:p>
          <w:p w14:paraId="5AD91517" w14:textId="77777777" w:rsidR="00716689" w:rsidRPr="000111D7" w:rsidRDefault="00716689" w:rsidP="001373F3">
            <w:pPr>
              <w:pStyle w:val="m-1525758337289540974text"/>
              <w:shd w:val="clear" w:color="auto" w:fill="FFFFFF"/>
              <w:ind w:firstLine="360"/>
              <w:contextualSpacing/>
              <w:rPr>
                <w:rFonts w:asciiTheme="majorHAnsi" w:hAnsiTheme="majorHAnsi" w:cstheme="majorHAnsi"/>
                <w:sz w:val="20"/>
                <w:szCs w:val="20"/>
              </w:rPr>
            </w:pPr>
          </w:p>
        </w:tc>
        <w:tc>
          <w:tcPr>
            <w:tcW w:w="990" w:type="dxa"/>
          </w:tcPr>
          <w:p w14:paraId="550AFBA8" w14:textId="77777777" w:rsidR="00716689" w:rsidRPr="00353A71" w:rsidRDefault="00353A71" w:rsidP="001373F3">
            <w:pPr>
              <w:pStyle w:val="m-1525758337289540974text"/>
              <w:shd w:val="clear" w:color="auto" w:fill="FFFFFF"/>
              <w:contextualSpacing/>
              <w:rPr>
                <w:rFonts w:asciiTheme="majorHAnsi" w:hAnsiTheme="majorHAnsi" w:cstheme="majorHAnsi"/>
                <w:sz w:val="20"/>
                <w:szCs w:val="20"/>
              </w:rPr>
            </w:pPr>
            <w:r w:rsidRPr="00353A71">
              <w:rPr>
                <w:rFonts w:asciiTheme="majorHAnsi" w:hAnsiTheme="majorHAnsi" w:cstheme="majorHAnsi"/>
                <w:sz w:val="20"/>
                <w:szCs w:val="20"/>
              </w:rPr>
              <w:t>3% ($27m)</w:t>
            </w:r>
          </w:p>
        </w:tc>
        <w:tc>
          <w:tcPr>
            <w:tcW w:w="6992" w:type="dxa"/>
          </w:tcPr>
          <w:p w14:paraId="21652FE1" w14:textId="77777777" w:rsidR="00716689" w:rsidRPr="000111D7" w:rsidRDefault="00716689" w:rsidP="00A67FD5">
            <w:pPr>
              <w:pStyle w:val="m-1525758337289540974text"/>
              <w:shd w:val="clear" w:color="auto" w:fill="FFFFFF"/>
              <w:contextualSpacing/>
              <w:rPr>
                <w:rFonts w:asciiTheme="majorHAnsi" w:hAnsiTheme="majorHAnsi" w:cstheme="majorHAnsi"/>
                <w:sz w:val="20"/>
                <w:szCs w:val="20"/>
              </w:rPr>
            </w:pPr>
            <w:r w:rsidRPr="000111D7">
              <w:rPr>
                <w:rFonts w:asciiTheme="majorHAnsi" w:hAnsiTheme="majorHAnsi" w:cstheme="majorHAnsi"/>
                <w:sz w:val="20"/>
                <w:szCs w:val="20"/>
              </w:rPr>
              <w:t>Neutral.</w:t>
            </w:r>
            <w:r w:rsidR="00A67FD5">
              <w:rPr>
                <w:rFonts w:asciiTheme="majorHAnsi" w:hAnsiTheme="majorHAnsi" w:cstheme="majorHAnsi"/>
                <w:sz w:val="20"/>
                <w:szCs w:val="20"/>
              </w:rPr>
              <w:t xml:space="preserve"> Stability of the Utilities sector is attractive. However, it does not account for a large proportion of the index and therefore one would have to be extremely overweight or underweight for its performance to affect the portfolio. As a result, we will remain neutral to allocate funds elsewhere.</w:t>
            </w:r>
          </w:p>
        </w:tc>
      </w:tr>
    </w:tbl>
    <w:p w14:paraId="5D7164B6" w14:textId="77777777" w:rsidR="00203A36" w:rsidRDefault="00203A36" w:rsidP="001373F3">
      <w:pPr>
        <w:spacing w:before="100" w:beforeAutospacing="1" w:after="100" w:afterAutospacing="1"/>
        <w:contextualSpacing/>
        <w:rPr>
          <w:rFonts w:asciiTheme="majorHAnsi" w:hAnsiTheme="majorHAnsi" w:cstheme="majorHAnsi"/>
          <w:b/>
          <w:sz w:val="20"/>
          <w:szCs w:val="20"/>
          <w:u w:val="single"/>
        </w:rPr>
      </w:pPr>
    </w:p>
    <w:p w14:paraId="623170BC" w14:textId="77777777" w:rsidR="0090211F" w:rsidRDefault="00C42506" w:rsidP="001373F3">
      <w:pPr>
        <w:pStyle w:val="ListParagraph"/>
        <w:numPr>
          <w:ilvl w:val="1"/>
          <w:numId w:val="4"/>
        </w:numPr>
        <w:spacing w:before="100" w:beforeAutospacing="1" w:after="100" w:afterAutospacing="1"/>
        <w:contextualSpacing/>
        <w:rPr>
          <w:rFonts w:asciiTheme="majorHAnsi" w:hAnsiTheme="majorHAnsi" w:cstheme="majorHAnsi"/>
          <w:b/>
          <w:sz w:val="20"/>
          <w:szCs w:val="20"/>
          <w:u w:val="single"/>
        </w:rPr>
      </w:pPr>
      <w:r>
        <w:rPr>
          <w:rFonts w:asciiTheme="majorHAnsi" w:hAnsiTheme="majorHAnsi" w:cstheme="majorHAnsi"/>
          <w:b/>
          <w:sz w:val="20"/>
          <w:szCs w:val="20"/>
          <w:u w:val="single"/>
        </w:rPr>
        <w:t>Bonds, Currencies, and Commodities</w:t>
      </w:r>
    </w:p>
    <w:tbl>
      <w:tblPr>
        <w:tblStyle w:val="TableGrid"/>
        <w:tblW w:w="0" w:type="auto"/>
        <w:tblLook w:val="04A0" w:firstRow="1" w:lastRow="0" w:firstColumn="1" w:lastColumn="0" w:noHBand="0" w:noVBand="1"/>
      </w:tblPr>
      <w:tblGrid>
        <w:gridCol w:w="1695"/>
        <w:gridCol w:w="1473"/>
        <w:gridCol w:w="6542"/>
      </w:tblGrid>
      <w:tr w:rsidR="00C42506" w:rsidRPr="000111D7" w14:paraId="04775FDB" w14:textId="77777777" w:rsidTr="00E571EB">
        <w:tc>
          <w:tcPr>
            <w:tcW w:w="1695" w:type="dxa"/>
          </w:tcPr>
          <w:p w14:paraId="1DBEB53D" w14:textId="77777777" w:rsidR="00C42506" w:rsidRPr="00E571EB" w:rsidRDefault="00C42506" w:rsidP="001373F3">
            <w:pPr>
              <w:pStyle w:val="m-1525758337289540974text"/>
              <w:shd w:val="clear" w:color="auto" w:fill="FFFFFF"/>
              <w:contextualSpacing/>
              <w:rPr>
                <w:rFonts w:asciiTheme="majorHAnsi" w:hAnsiTheme="majorHAnsi" w:cstheme="majorHAnsi"/>
                <w:b/>
                <w:sz w:val="20"/>
                <w:szCs w:val="20"/>
              </w:rPr>
            </w:pPr>
            <w:r w:rsidRPr="00E571EB">
              <w:rPr>
                <w:rFonts w:asciiTheme="majorHAnsi" w:hAnsiTheme="majorHAnsi" w:cstheme="majorHAnsi"/>
                <w:b/>
                <w:sz w:val="20"/>
                <w:szCs w:val="20"/>
              </w:rPr>
              <w:t>Instrument</w:t>
            </w:r>
          </w:p>
        </w:tc>
        <w:tc>
          <w:tcPr>
            <w:tcW w:w="1473" w:type="dxa"/>
          </w:tcPr>
          <w:p w14:paraId="383BAFF0" w14:textId="77777777" w:rsidR="00C42506" w:rsidRPr="00E571EB" w:rsidRDefault="00C42506" w:rsidP="001373F3">
            <w:pPr>
              <w:pStyle w:val="m-1525758337289540974text"/>
              <w:shd w:val="clear" w:color="auto" w:fill="FFFFFF"/>
              <w:contextualSpacing/>
              <w:rPr>
                <w:rFonts w:asciiTheme="majorHAnsi" w:hAnsiTheme="majorHAnsi" w:cstheme="majorHAnsi"/>
                <w:b/>
                <w:sz w:val="20"/>
                <w:szCs w:val="20"/>
              </w:rPr>
            </w:pPr>
            <w:r w:rsidRPr="00E571EB">
              <w:rPr>
                <w:rFonts w:asciiTheme="majorHAnsi" w:hAnsiTheme="majorHAnsi" w:cstheme="majorHAnsi"/>
                <w:b/>
                <w:sz w:val="20"/>
                <w:szCs w:val="20"/>
              </w:rPr>
              <w:t>Al</w:t>
            </w:r>
            <w:r w:rsidR="00E571EB" w:rsidRPr="00E571EB">
              <w:rPr>
                <w:rFonts w:asciiTheme="majorHAnsi" w:hAnsiTheme="majorHAnsi" w:cstheme="majorHAnsi"/>
                <w:b/>
                <w:sz w:val="20"/>
                <w:szCs w:val="20"/>
              </w:rPr>
              <w:t>location</w:t>
            </w:r>
          </w:p>
        </w:tc>
        <w:tc>
          <w:tcPr>
            <w:tcW w:w="6542" w:type="dxa"/>
          </w:tcPr>
          <w:p w14:paraId="64D96EAA" w14:textId="77777777" w:rsidR="00C42506" w:rsidRPr="00E571EB" w:rsidRDefault="00E571EB" w:rsidP="001373F3">
            <w:pPr>
              <w:spacing w:before="100" w:beforeAutospacing="1" w:after="100" w:afterAutospacing="1" w:line="252" w:lineRule="auto"/>
              <w:contextualSpacing/>
              <w:rPr>
                <w:rFonts w:asciiTheme="majorHAnsi" w:hAnsiTheme="majorHAnsi" w:cstheme="majorHAnsi"/>
                <w:b/>
                <w:sz w:val="20"/>
                <w:szCs w:val="20"/>
              </w:rPr>
            </w:pPr>
            <w:r w:rsidRPr="00E571EB">
              <w:rPr>
                <w:rFonts w:asciiTheme="majorHAnsi" w:hAnsiTheme="majorHAnsi" w:cstheme="majorHAnsi"/>
                <w:b/>
                <w:sz w:val="20"/>
                <w:szCs w:val="20"/>
              </w:rPr>
              <w:t>Rationale</w:t>
            </w:r>
          </w:p>
        </w:tc>
      </w:tr>
      <w:tr w:rsidR="002D2D35" w:rsidRPr="000111D7" w14:paraId="4C938FF1" w14:textId="77777777" w:rsidTr="00E571EB">
        <w:tc>
          <w:tcPr>
            <w:tcW w:w="1695" w:type="dxa"/>
          </w:tcPr>
          <w:p w14:paraId="72A4FDD7" w14:textId="77777777" w:rsidR="002D2D35" w:rsidRPr="000111D7" w:rsidRDefault="002D2D35" w:rsidP="001373F3">
            <w:pPr>
              <w:pStyle w:val="m-1525758337289540974text"/>
              <w:shd w:val="clear" w:color="auto" w:fill="FFFFFF"/>
              <w:contextualSpacing/>
              <w:rPr>
                <w:rFonts w:asciiTheme="majorHAnsi" w:hAnsiTheme="majorHAnsi" w:cstheme="majorHAnsi"/>
                <w:sz w:val="20"/>
                <w:szCs w:val="20"/>
              </w:rPr>
            </w:pPr>
            <w:r>
              <w:rPr>
                <w:rFonts w:asciiTheme="majorHAnsi" w:hAnsiTheme="majorHAnsi" w:cstheme="majorHAnsi"/>
                <w:sz w:val="20"/>
                <w:szCs w:val="20"/>
              </w:rPr>
              <w:t xml:space="preserve">US 10yr US </w:t>
            </w:r>
            <w:r w:rsidRPr="000111D7">
              <w:rPr>
                <w:rFonts w:asciiTheme="majorHAnsi" w:hAnsiTheme="majorHAnsi" w:cstheme="majorHAnsi"/>
                <w:sz w:val="20"/>
                <w:szCs w:val="20"/>
              </w:rPr>
              <w:t xml:space="preserve">Govt Bonds </w:t>
            </w:r>
          </w:p>
        </w:tc>
        <w:tc>
          <w:tcPr>
            <w:tcW w:w="1473" w:type="dxa"/>
          </w:tcPr>
          <w:p w14:paraId="3EAB2488" w14:textId="77777777" w:rsidR="002D2D35" w:rsidRPr="00353A71" w:rsidRDefault="00C42506" w:rsidP="001373F3">
            <w:pPr>
              <w:pStyle w:val="m-1525758337289540974text"/>
              <w:shd w:val="clear" w:color="auto" w:fill="FFFFFF"/>
              <w:contextualSpacing/>
              <w:rPr>
                <w:rFonts w:asciiTheme="majorHAnsi" w:hAnsiTheme="majorHAnsi" w:cstheme="majorHAnsi"/>
                <w:sz w:val="20"/>
                <w:szCs w:val="20"/>
              </w:rPr>
            </w:pPr>
            <w:r>
              <w:rPr>
                <w:rFonts w:asciiTheme="majorHAnsi" w:hAnsiTheme="majorHAnsi" w:cstheme="majorHAnsi"/>
                <w:sz w:val="20"/>
                <w:szCs w:val="20"/>
              </w:rPr>
              <w:t>6% (</w:t>
            </w:r>
            <w:r w:rsidR="002D2D35">
              <w:rPr>
                <w:rFonts w:asciiTheme="majorHAnsi" w:hAnsiTheme="majorHAnsi" w:cstheme="majorHAnsi"/>
                <w:sz w:val="20"/>
                <w:szCs w:val="20"/>
              </w:rPr>
              <w:t>$50mm</w:t>
            </w:r>
            <w:r>
              <w:rPr>
                <w:rFonts w:asciiTheme="majorHAnsi" w:hAnsiTheme="majorHAnsi" w:cstheme="majorHAnsi"/>
                <w:sz w:val="20"/>
                <w:szCs w:val="20"/>
              </w:rPr>
              <w:t>)</w:t>
            </w:r>
          </w:p>
        </w:tc>
        <w:tc>
          <w:tcPr>
            <w:tcW w:w="6542" w:type="dxa"/>
          </w:tcPr>
          <w:p w14:paraId="46A53FF6" w14:textId="77777777" w:rsidR="002D2D35" w:rsidRPr="000111D7" w:rsidRDefault="002D2D35" w:rsidP="00E571EB">
            <w:pPr>
              <w:spacing w:before="100" w:beforeAutospacing="1" w:after="100" w:afterAutospacing="1" w:line="252" w:lineRule="auto"/>
              <w:contextualSpacing/>
              <w:rPr>
                <w:rFonts w:asciiTheme="majorHAnsi" w:hAnsiTheme="majorHAnsi" w:cstheme="majorHAnsi"/>
                <w:sz w:val="20"/>
                <w:szCs w:val="20"/>
              </w:rPr>
            </w:pPr>
            <w:r w:rsidRPr="002D2D35">
              <w:rPr>
                <w:rFonts w:asciiTheme="majorHAnsi" w:hAnsiTheme="majorHAnsi" w:cstheme="majorHAnsi"/>
                <w:sz w:val="20"/>
                <w:szCs w:val="20"/>
              </w:rPr>
              <w:t>A long term, low risk government bond</w:t>
            </w:r>
            <w:r>
              <w:rPr>
                <w:rFonts w:asciiTheme="majorHAnsi" w:hAnsiTheme="majorHAnsi" w:cstheme="majorHAnsi"/>
                <w:sz w:val="20"/>
                <w:szCs w:val="20"/>
              </w:rPr>
              <w:t xml:space="preserve"> that </w:t>
            </w:r>
            <w:r w:rsidRPr="002D2D35">
              <w:rPr>
                <w:rFonts w:asciiTheme="majorHAnsi" w:hAnsiTheme="majorHAnsi" w:cstheme="majorHAnsi"/>
                <w:sz w:val="20"/>
                <w:szCs w:val="20"/>
              </w:rPr>
              <w:t>provides a 2.5%-3% yield.</w:t>
            </w:r>
          </w:p>
        </w:tc>
      </w:tr>
      <w:tr w:rsidR="002D2D35" w:rsidRPr="000111D7" w14:paraId="54ED456A" w14:textId="77777777" w:rsidTr="00E571EB">
        <w:tc>
          <w:tcPr>
            <w:tcW w:w="1695" w:type="dxa"/>
          </w:tcPr>
          <w:p w14:paraId="5405E6A4" w14:textId="77777777" w:rsidR="002D2D35" w:rsidRDefault="002D2D35" w:rsidP="001373F3">
            <w:pPr>
              <w:pStyle w:val="m-1525758337289540974text"/>
              <w:shd w:val="clear" w:color="auto" w:fill="FFFFFF"/>
              <w:contextualSpacing/>
              <w:rPr>
                <w:rFonts w:asciiTheme="majorHAnsi" w:hAnsiTheme="majorHAnsi" w:cstheme="majorHAnsi"/>
                <w:sz w:val="20"/>
                <w:szCs w:val="20"/>
              </w:rPr>
            </w:pPr>
            <w:r>
              <w:rPr>
                <w:rFonts w:asciiTheme="majorHAnsi" w:hAnsiTheme="majorHAnsi" w:cstheme="majorHAnsi"/>
                <w:sz w:val="20"/>
                <w:szCs w:val="20"/>
              </w:rPr>
              <w:t>Gold</w:t>
            </w:r>
          </w:p>
        </w:tc>
        <w:tc>
          <w:tcPr>
            <w:tcW w:w="1473" w:type="dxa"/>
          </w:tcPr>
          <w:p w14:paraId="016E1678" w14:textId="77777777" w:rsidR="002D2D35" w:rsidRDefault="00C42506" w:rsidP="001373F3">
            <w:pPr>
              <w:pStyle w:val="m-1525758337289540974text"/>
              <w:shd w:val="clear" w:color="auto" w:fill="FFFFFF"/>
              <w:contextualSpacing/>
              <w:rPr>
                <w:rFonts w:asciiTheme="majorHAnsi" w:hAnsiTheme="majorHAnsi" w:cstheme="majorHAnsi"/>
                <w:sz w:val="20"/>
                <w:szCs w:val="20"/>
              </w:rPr>
            </w:pPr>
            <w:r>
              <w:rPr>
                <w:rFonts w:asciiTheme="majorHAnsi" w:hAnsiTheme="majorHAnsi" w:cstheme="majorHAnsi"/>
                <w:sz w:val="20"/>
                <w:szCs w:val="20"/>
              </w:rPr>
              <w:t>6%(</w:t>
            </w:r>
            <w:r w:rsidR="002D2D35">
              <w:rPr>
                <w:rFonts w:asciiTheme="majorHAnsi" w:hAnsiTheme="majorHAnsi" w:cstheme="majorHAnsi"/>
                <w:sz w:val="20"/>
                <w:szCs w:val="20"/>
              </w:rPr>
              <w:t>$50mm</w:t>
            </w:r>
            <w:r>
              <w:rPr>
                <w:rFonts w:asciiTheme="majorHAnsi" w:hAnsiTheme="majorHAnsi" w:cstheme="majorHAnsi"/>
                <w:sz w:val="20"/>
                <w:szCs w:val="20"/>
              </w:rPr>
              <w:t>)</w:t>
            </w:r>
          </w:p>
        </w:tc>
        <w:tc>
          <w:tcPr>
            <w:tcW w:w="6542" w:type="dxa"/>
          </w:tcPr>
          <w:p w14:paraId="7760BADA" w14:textId="77777777" w:rsidR="002D2D35" w:rsidRPr="002D2D35" w:rsidRDefault="002D2D35" w:rsidP="001373F3">
            <w:pPr>
              <w:spacing w:before="100" w:beforeAutospacing="1" w:after="100" w:afterAutospacing="1" w:line="252" w:lineRule="auto"/>
              <w:contextualSpacing/>
              <w:rPr>
                <w:rFonts w:asciiTheme="majorHAnsi" w:hAnsiTheme="majorHAnsi" w:cstheme="majorHAnsi"/>
                <w:sz w:val="20"/>
                <w:szCs w:val="20"/>
              </w:rPr>
            </w:pPr>
            <w:r w:rsidRPr="000111D7">
              <w:rPr>
                <w:rFonts w:asciiTheme="majorHAnsi" w:hAnsiTheme="majorHAnsi" w:cstheme="majorHAnsi"/>
                <w:sz w:val="20"/>
                <w:szCs w:val="20"/>
              </w:rPr>
              <w:t>A safe-haven commodity that can provide protection from volatile equity swings</w:t>
            </w:r>
            <w:r>
              <w:rPr>
                <w:rFonts w:asciiTheme="majorHAnsi" w:hAnsiTheme="majorHAnsi" w:cstheme="majorHAnsi"/>
                <w:sz w:val="20"/>
                <w:szCs w:val="20"/>
              </w:rPr>
              <w:t>.</w:t>
            </w:r>
          </w:p>
        </w:tc>
      </w:tr>
    </w:tbl>
    <w:p w14:paraId="2D8CE16E" w14:textId="77777777" w:rsidR="002D2D35" w:rsidRPr="000111D7" w:rsidRDefault="002D2D35" w:rsidP="001373F3">
      <w:pPr>
        <w:spacing w:before="100" w:beforeAutospacing="1" w:after="100" w:afterAutospacing="1"/>
        <w:contextualSpacing/>
        <w:rPr>
          <w:rFonts w:asciiTheme="majorHAnsi" w:hAnsiTheme="majorHAnsi" w:cstheme="majorHAnsi"/>
          <w:b/>
          <w:sz w:val="20"/>
          <w:szCs w:val="20"/>
          <w:u w:val="single"/>
        </w:rPr>
      </w:pPr>
    </w:p>
    <w:sectPr w:rsidR="002D2D35" w:rsidRPr="000111D7" w:rsidSect="0001412B">
      <w:headerReference w:type="default" r:id="rId7"/>
      <w:pgSz w:w="12240" w:h="15840"/>
      <w:pgMar w:top="1440" w:right="1080" w:bottom="1440" w:left="1440" w:header="720" w:footer="4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FDF56" w14:textId="77777777" w:rsidR="00B7258D" w:rsidRDefault="00B7258D" w:rsidP="00203A36">
      <w:pPr>
        <w:spacing w:after="0" w:line="240" w:lineRule="auto"/>
      </w:pPr>
      <w:r>
        <w:separator/>
      </w:r>
    </w:p>
  </w:endnote>
  <w:endnote w:type="continuationSeparator" w:id="0">
    <w:p w14:paraId="41A83D0C" w14:textId="77777777" w:rsidR="00B7258D" w:rsidRDefault="00B7258D" w:rsidP="00203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7C5BA" w14:textId="77777777" w:rsidR="00B7258D" w:rsidRDefault="00B7258D" w:rsidP="00203A36">
      <w:pPr>
        <w:spacing w:after="0" w:line="240" w:lineRule="auto"/>
      </w:pPr>
      <w:r>
        <w:separator/>
      </w:r>
    </w:p>
  </w:footnote>
  <w:footnote w:type="continuationSeparator" w:id="0">
    <w:p w14:paraId="6712951E" w14:textId="77777777" w:rsidR="00B7258D" w:rsidRDefault="00B7258D" w:rsidP="00203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8808B" w14:textId="77777777" w:rsidR="00203A36" w:rsidRDefault="00203A36" w:rsidP="00203A36">
    <w:pPr>
      <w:pStyle w:val="Header"/>
      <w:jc w:val="center"/>
    </w:pPr>
    <w:r>
      <w:rPr>
        <w:noProof/>
      </w:rPr>
      <w:tab/>
    </w:r>
    <w:r>
      <w:rPr>
        <w:noProof/>
      </w:rPr>
      <w:tab/>
    </w:r>
    <w:r>
      <w:rPr>
        <w:noProof/>
      </w:rPr>
      <w:drawing>
        <wp:inline distT="0" distB="0" distL="0" distR="0" wp14:anchorId="348CFA5E" wp14:editId="1F6DAFA2">
          <wp:extent cx="1333500" cy="1001233"/>
          <wp:effectExtent l="0" t="0" r="0" b="0"/>
          <wp:docPr id="1" name="Picture 1" descr="Image result for ci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t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9474" cy="10132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6B4FDC"/>
    <w:multiLevelType w:val="hybridMultilevel"/>
    <w:tmpl w:val="12E890A0"/>
    <w:lvl w:ilvl="0" w:tplc="8E225B3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52600"/>
    <w:multiLevelType w:val="hybridMultilevel"/>
    <w:tmpl w:val="F32EDECA"/>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 w15:restartNumberingAfterBreak="0">
    <w:nsid w:val="424F1854"/>
    <w:multiLevelType w:val="hybridMultilevel"/>
    <w:tmpl w:val="FE7A20C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72DE1242"/>
    <w:multiLevelType w:val="hybridMultilevel"/>
    <w:tmpl w:val="F5566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Format" w:val=" "/>
    <w:docVar w:name="AppendixSeparator" w:val=" "/>
    <w:docVar w:name="CustomTemplate" w:val="true"/>
    <w:docVar w:name="DocStatus" w:val="true"/>
    <w:docVar w:name="DropBelowFooter" w:val="0"/>
    <w:docVar w:name="iPageNumberOption" w:val="1"/>
    <w:docVar w:name="LastTopicLevel" w:val="3"/>
    <w:docVar w:name="LeftHeader" w:val="{Filename \p}, 6, Italic"/>
    <w:docVar w:name="PageNumberOption" w:val="1"/>
    <w:docVar w:name="PageNumberPosition" w:val="Left"/>
    <w:docVar w:name="PageTitleOption" w:val="0"/>
    <w:docVar w:name="PaperSize" w:val="Letter"/>
    <w:docVar w:name="ResetDate" w:val=" "/>
    <w:docVar w:name="RightHeader" w:val="Confidential"/>
    <w:docVar w:name="StartingPageNumber" w:val="1"/>
    <w:docVar w:name="StartingTopicLevel" w:val="1"/>
    <w:docVar w:name="Styleset" w:val="CMB Portrait"/>
    <w:docVar w:name="TopicLevel1Format" w:val="arabic"/>
    <w:docVar w:name="TopicLevel1Separator" w:val="."/>
    <w:docVar w:name="TopicLevel2Format" w:val="ALPHABETIC"/>
    <w:docVar w:name="TopicLevel2Separator" w:val="."/>
    <w:docVar w:name="TopicLevel3Format" w:val="alphabetic"/>
    <w:docVar w:name="TopicLevel3Separator" w:val="."/>
    <w:docVar w:name="TopicLevelCount" w:val="0"/>
  </w:docVars>
  <w:rsids>
    <w:rsidRoot w:val="0001412B"/>
    <w:rsid w:val="000111D7"/>
    <w:rsid w:val="0001412B"/>
    <w:rsid w:val="001373F3"/>
    <w:rsid w:val="00143191"/>
    <w:rsid w:val="001C773C"/>
    <w:rsid w:val="00203A36"/>
    <w:rsid w:val="00242836"/>
    <w:rsid w:val="002D2D35"/>
    <w:rsid w:val="00315FAB"/>
    <w:rsid w:val="00353A71"/>
    <w:rsid w:val="00436B4F"/>
    <w:rsid w:val="00463021"/>
    <w:rsid w:val="00503E42"/>
    <w:rsid w:val="005159E7"/>
    <w:rsid w:val="00552DA0"/>
    <w:rsid w:val="0057108D"/>
    <w:rsid w:val="005A172E"/>
    <w:rsid w:val="005D7C2D"/>
    <w:rsid w:val="005F2C7F"/>
    <w:rsid w:val="0063334E"/>
    <w:rsid w:val="00675F47"/>
    <w:rsid w:val="00716689"/>
    <w:rsid w:val="007955DF"/>
    <w:rsid w:val="0090211F"/>
    <w:rsid w:val="00A67FD5"/>
    <w:rsid w:val="00B7258D"/>
    <w:rsid w:val="00C42506"/>
    <w:rsid w:val="00D2025B"/>
    <w:rsid w:val="00D23A47"/>
    <w:rsid w:val="00E20589"/>
    <w:rsid w:val="00E571EB"/>
    <w:rsid w:val="00EB1AE2"/>
    <w:rsid w:val="00FD0D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94E4F"/>
  <w15:docId w15:val="{D47C9532-0D92-4B15-A437-D0B646206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01412B"/>
  </w:style>
  <w:style w:type="character" w:customStyle="1" w:styleId="TextChar">
    <w:name w:val="Text Char"/>
    <w:basedOn w:val="DefaultParagraphFont"/>
    <w:link w:val="Text"/>
    <w:rsid w:val="0001412B"/>
    <w:rPr>
      <w:rFonts w:ascii="Arial" w:hAnsi="Arial" w:cs="Arial"/>
    </w:rPr>
  </w:style>
  <w:style w:type="paragraph" w:styleId="ListParagraph">
    <w:name w:val="List Paragraph"/>
    <w:basedOn w:val="Normal"/>
    <w:uiPriority w:val="34"/>
    <w:qFormat/>
    <w:rsid w:val="0001412B"/>
    <w:pPr>
      <w:spacing w:after="0" w:line="240" w:lineRule="auto"/>
      <w:ind w:left="720"/>
    </w:pPr>
    <w:rPr>
      <w:rFonts w:ascii="Calibri" w:hAnsi="Calibri" w:cs="Times New Roman"/>
      <w:lang w:val="en-AU" w:eastAsia="en-AU"/>
    </w:rPr>
  </w:style>
  <w:style w:type="paragraph" w:customStyle="1" w:styleId="m-1525758337289540974text">
    <w:name w:val="m_-1525758337289540974text"/>
    <w:basedOn w:val="Normal"/>
    <w:rsid w:val="0001412B"/>
    <w:pPr>
      <w:spacing w:before="100" w:beforeAutospacing="1" w:after="100" w:afterAutospacing="1" w:line="240" w:lineRule="auto"/>
    </w:pPr>
    <w:rPr>
      <w:rFonts w:ascii="Times New Roman" w:hAnsi="Times New Roman" w:cs="Times New Roman"/>
      <w:sz w:val="24"/>
      <w:szCs w:val="24"/>
      <w:lang w:val="en-AU" w:eastAsia="en-AU"/>
    </w:rPr>
  </w:style>
  <w:style w:type="table" w:styleId="TableGrid">
    <w:name w:val="Table Grid"/>
    <w:basedOn w:val="TableNormal"/>
    <w:uiPriority w:val="59"/>
    <w:rsid w:val="00011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A36"/>
    <w:rPr>
      <w:rFonts w:ascii="Arial" w:hAnsi="Arial" w:cs="Arial"/>
      <w:lang w:val="en-US"/>
    </w:rPr>
  </w:style>
  <w:style w:type="paragraph" w:styleId="Footer">
    <w:name w:val="footer"/>
    <w:basedOn w:val="Normal"/>
    <w:link w:val="FooterChar"/>
    <w:uiPriority w:val="99"/>
    <w:unhideWhenUsed/>
    <w:rsid w:val="00203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A36"/>
    <w:rPr>
      <w:rFonts w:ascii="Arial" w:hAnsi="Arial" w:cs="Arial"/>
      <w:lang w:val="en-US"/>
    </w:rPr>
  </w:style>
  <w:style w:type="character" w:styleId="CommentReference">
    <w:name w:val="annotation reference"/>
    <w:basedOn w:val="DefaultParagraphFont"/>
    <w:uiPriority w:val="99"/>
    <w:semiHidden/>
    <w:unhideWhenUsed/>
    <w:rsid w:val="00203A36"/>
    <w:rPr>
      <w:sz w:val="16"/>
      <w:szCs w:val="16"/>
    </w:rPr>
  </w:style>
  <w:style w:type="paragraph" w:styleId="CommentText">
    <w:name w:val="annotation text"/>
    <w:basedOn w:val="Normal"/>
    <w:link w:val="CommentTextChar"/>
    <w:uiPriority w:val="99"/>
    <w:semiHidden/>
    <w:unhideWhenUsed/>
    <w:rsid w:val="00203A36"/>
    <w:pPr>
      <w:spacing w:line="240" w:lineRule="auto"/>
    </w:pPr>
    <w:rPr>
      <w:sz w:val="20"/>
      <w:szCs w:val="20"/>
    </w:rPr>
  </w:style>
  <w:style w:type="character" w:customStyle="1" w:styleId="CommentTextChar">
    <w:name w:val="Comment Text Char"/>
    <w:basedOn w:val="DefaultParagraphFont"/>
    <w:link w:val="CommentText"/>
    <w:uiPriority w:val="99"/>
    <w:semiHidden/>
    <w:rsid w:val="00203A36"/>
    <w:rPr>
      <w:rFonts w:ascii="Arial" w:hAnsi="Arial" w:cs="Arial"/>
      <w:sz w:val="20"/>
      <w:szCs w:val="20"/>
      <w:lang w:val="en-US"/>
    </w:rPr>
  </w:style>
  <w:style w:type="paragraph" w:styleId="CommentSubject">
    <w:name w:val="annotation subject"/>
    <w:basedOn w:val="CommentText"/>
    <w:next w:val="CommentText"/>
    <w:link w:val="CommentSubjectChar"/>
    <w:uiPriority w:val="99"/>
    <w:semiHidden/>
    <w:unhideWhenUsed/>
    <w:rsid w:val="00203A36"/>
    <w:rPr>
      <w:b/>
      <w:bCs/>
    </w:rPr>
  </w:style>
  <w:style w:type="character" w:customStyle="1" w:styleId="CommentSubjectChar">
    <w:name w:val="Comment Subject Char"/>
    <w:basedOn w:val="CommentTextChar"/>
    <w:link w:val="CommentSubject"/>
    <w:uiPriority w:val="99"/>
    <w:semiHidden/>
    <w:rsid w:val="00203A36"/>
    <w:rPr>
      <w:rFonts w:ascii="Arial" w:hAnsi="Arial" w:cs="Arial"/>
      <w:b/>
      <w:bCs/>
      <w:sz w:val="20"/>
      <w:szCs w:val="20"/>
      <w:lang w:val="en-US"/>
    </w:rPr>
  </w:style>
  <w:style w:type="paragraph" w:styleId="BalloonText">
    <w:name w:val="Balloon Text"/>
    <w:basedOn w:val="Normal"/>
    <w:link w:val="BalloonTextChar"/>
    <w:uiPriority w:val="99"/>
    <w:semiHidden/>
    <w:unhideWhenUsed/>
    <w:rsid w:val="00203A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A3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08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ICG">
      <a:dk1>
        <a:sysClr val="windowText" lastClr="000000"/>
      </a:dk1>
      <a:lt1>
        <a:sysClr val="window" lastClr="FFFFFF"/>
      </a:lt1>
      <a:dk2>
        <a:srgbClr val="CCF2FC"/>
      </a:dk2>
      <a:lt2>
        <a:srgbClr val="EAEBEB"/>
      </a:lt2>
      <a:accent1>
        <a:srgbClr val="002D72"/>
      </a:accent1>
      <a:accent2>
        <a:srgbClr val="00BDF2"/>
      </a:accent2>
      <a:accent3>
        <a:srgbClr val="53565A"/>
      </a:accent3>
      <a:accent4>
        <a:srgbClr val="97999B"/>
      </a:accent4>
      <a:accent5>
        <a:srgbClr val="CB6015"/>
      </a:accent5>
      <a:accent6>
        <a:srgbClr val="FFFFFF"/>
      </a:accent6>
      <a:hlink>
        <a:srgbClr val="00BDF2"/>
      </a:hlink>
      <a:folHlink>
        <a:srgbClr val="00BDF2"/>
      </a:folHlink>
    </a:clrScheme>
    <a:fontScheme name="ICG Fonts">
      <a:majorFont>
        <a:latin typeface="Arial"/>
        <a:ea typeface="STKaiti"/>
        <a:cs typeface=""/>
        <a:font script="Jpan" typeface="MS PGothic"/>
      </a:majorFont>
      <a:minorFont>
        <a:latin typeface="Arial"/>
        <a:ea typeface="STKaiti"/>
        <a:cs typeface=""/>
        <a:font script="Jpan" typeface="MS PGothic"/>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Gogoski, Daniel [ICG-MKTS]</dc:creator>
  <cp:lastModifiedBy>Isabelle Chamberlain</cp:lastModifiedBy>
  <cp:revision>4</cp:revision>
  <dcterms:created xsi:type="dcterms:W3CDTF">2019-07-02T11:52:00Z</dcterms:created>
  <dcterms:modified xsi:type="dcterms:W3CDTF">2020-05-04T05:07:00Z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Name">
    <vt:lpwstr> </vt:lpwstr>
  </property>
  <property fmtid="{D5CDD505-2E9C-101B-9397-08002B2CF9AE}" pid="3" name="Template">
    <vt:lpwstr>CMB_Word</vt:lpwstr>
  </property>
  <property fmtid="{D5CDD505-2E9C-101B-9397-08002B2CF9AE}" pid="4" name="Version">
    <vt:lpwstr>Version4.7.0.146</vt:lpwstr>
  </property>
</Properties>
</file>