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92B93" w14:textId="77777777" w:rsidR="00DD556B" w:rsidRDefault="00130FDC">
      <w:pPr>
        <w:spacing w:after="160"/>
      </w:pPr>
      <w:r>
        <w:rPr>
          <w:b/>
          <w:color w:val="11183A"/>
          <w:sz w:val="40"/>
        </w:rPr>
        <w:t>Bharat Direct — A Call to the Ecosystem</w:t>
      </w:r>
    </w:p>
    <w:p w14:paraId="1F797767" w14:textId="77777777" w:rsidR="00DD556B" w:rsidRDefault="00130FDC">
      <w:r>
        <w:rPr>
          <w:i/>
          <w:color w:val="555A66"/>
          <w:sz w:val="21"/>
        </w:rPr>
        <w:t>Finishing what UPI started: an aggregator-free, bank-owned payments rail and a shared Fraud Intelligence Consortium. A concept note for RBI, NPCI, iSPIRT, the banks, and anchor players.</w:t>
      </w:r>
    </w:p>
    <w:p w14:paraId="11E66B75" w14:textId="77777777" w:rsidR="00DD556B" w:rsidRDefault="00DD556B">
      <w:pPr>
        <w:pBdr>
          <w:bottom w:val="single" w:sz="6" w:space="1" w:color="2F4B8F"/>
        </w:pBdr>
      </w:pPr>
    </w:p>
    <w:p w14:paraId="4FB53474" w14:textId="77777777" w:rsidR="00DD556B" w:rsidRDefault="00130FDC">
      <w:pPr>
        <w:spacing w:before="240"/>
      </w:pPr>
      <w:r>
        <w:rPr>
          <w:b/>
          <w:color w:val="2F4B8F"/>
          <w:sz w:val="28"/>
        </w:rPr>
        <w:t>The opportunity</w:t>
      </w:r>
    </w:p>
    <w:p w14:paraId="75AA34E2" w14:textId="77777777" w:rsidR="00DD556B" w:rsidRDefault="00130FDC">
      <w:r>
        <w:t>India built the hardest 80% of a modern payments system — UPI, a bank-owned NPCI, and central CKYC. Two inefficiencies remain. First, a private payment-aggregator layer still collects rent between merchants and banks, on rails the network no longer needs. Second, authorized push-payment (APP) / social-engineering fraud — where a person is manipulated into authorising a real payment — is the fastest-growing financial crime, and the one gap a faster rail does nothing to close.</w:t>
      </w:r>
    </w:p>
    <w:p w14:paraId="1DBBADC7" w14:textId="77777777" w:rsidR="00DD556B" w:rsidRDefault="00130FDC">
      <w:pPr>
        <w:spacing w:before="240"/>
      </w:pPr>
      <w:r>
        <w:rPr>
          <w:b/>
          <w:color w:val="2F4B8F"/>
          <w:sz w:val="28"/>
        </w:rPr>
        <w:t>The proposal — two co-owned utilities</w:t>
      </w:r>
    </w:p>
    <w:p w14:paraId="44065F85" w14:textId="77777777" w:rsidR="00DD556B" w:rsidRDefault="00130FDC">
      <w:pPr>
        <w:pStyle w:val="ListBullet"/>
      </w:pPr>
      <w:r>
        <w:rPr>
          <w:b/>
        </w:rPr>
        <w:t xml:space="preserve">Direct Settlement Consortium. </w:t>
      </w:r>
      <w:r>
        <w:t>Merchants connect directly to banks; funds settle bank-to-bank over a thin, neutral switch that never custodies money; only identity (CKYC) stays central. The aggregator money-path and its escrow regime disappear. Cards and international networks are handled by a single, co-owned, at-cost gateway so merchants never hold card data (RBI tokenization already mandates this) and stay out of PCI scope.</w:t>
      </w:r>
    </w:p>
    <w:p w14:paraId="438B3BF2" w14:textId="77777777" w:rsidR="00DD556B" w:rsidRDefault="00130FDC">
      <w:pPr>
        <w:pStyle w:val="ListBullet"/>
      </w:pPr>
      <w:r>
        <w:rPr>
          <w:b/>
        </w:rPr>
        <w:t xml:space="preserve">Fraud Intelligence Consortium (FRC). </w:t>
      </w:r>
      <w:r>
        <w:t>A shared, privacy-preserving (federated-learning) utility — a real-time mule/payee reputation graph, a scam-typology library, and golden-hour freeze coordination — that powers an on-screen "Aware Layer" delivering precise warnings at the exact moment of authorisation. Fraud is a network crime; only a shared view can see it whole.</w:t>
      </w:r>
    </w:p>
    <w:p w14:paraId="4F878975" w14:textId="77777777" w:rsidR="00DD556B" w:rsidRDefault="00130FDC">
      <w:pPr>
        <w:spacing w:before="240"/>
      </w:pPr>
      <w:r>
        <w:rPr>
          <w:b/>
          <w:color w:val="2F4B8F"/>
          <w:sz w:val="28"/>
        </w:rPr>
        <w:t>Why now, why India</w:t>
      </w:r>
    </w:p>
    <w:p w14:paraId="1DB11F7A" w14:textId="77777777" w:rsidR="00DD556B" w:rsidRDefault="00130FDC">
      <w:r>
        <w:t>India has the world’s largest real-time rail, a national cybercrime backbone (1930 / NCRP / I4C), and telecom-fraud tooling — but no utility fusing them. The world is converging on these ideas (UK mandatory APP reimbursement, Singapore’s Anti-Scam Centre and Shared Responsibility Framework, Australia’s AFCX). India can build the most complete version, on infrastructure it already owns and governs.</w:t>
      </w:r>
    </w:p>
    <w:p w14:paraId="2F115A39" w14:textId="77777777" w:rsidR="00DD556B" w:rsidRDefault="00130FDC">
      <w:pPr>
        <w:spacing w:before="240"/>
      </w:pPr>
      <w:r>
        <w:rPr>
          <w:b/>
          <w:color w:val="2F4B8F"/>
          <w:sz w:val="28"/>
        </w:rPr>
        <w:t>What is being built today vs. what needs the ecosystem</w:t>
      </w:r>
    </w:p>
    <w:p w14:paraId="47BEFA73" w14:textId="77777777" w:rsidR="00DD556B" w:rsidRDefault="00130FDC">
      <w:pPr>
        <w:pStyle w:val="ListBullet"/>
      </w:pPr>
      <w:r>
        <w:rPr>
          <w:b/>
        </w:rPr>
        <w:t xml:space="preserve">Buildable now (in the open). </w:t>
      </w:r>
      <w:r>
        <w:t>An interoperable, drop-in fraud-intelligence layer and an open protocol — designed so contributors and consumers integrate without changing their core systems. This proves the fraud-reduction number on existing rails, with one bank or PSP, needing no one’s permission.</w:t>
      </w:r>
    </w:p>
    <w:p w14:paraId="049ADB08" w14:textId="77777777" w:rsidR="00DD556B" w:rsidRDefault="00130FDC">
      <w:pPr>
        <w:pStyle w:val="ListBullet"/>
      </w:pPr>
      <w:r>
        <w:rPr>
          <w:b/>
        </w:rPr>
        <w:lastRenderedPageBreak/>
        <w:t xml:space="preserve">Needs the ecosystem. </w:t>
      </w:r>
      <w:r>
        <w:t>Native split-settlement (an NPCI rail feature), a production-grade consortium switch (an owned, open-source alternative to licensed monoliths, operated at cost), and a real FRC with live bank data-sharing (a governance and legal change).</w:t>
      </w:r>
    </w:p>
    <w:p w14:paraId="43D17FCC" w14:textId="77777777" w:rsidR="00DD556B" w:rsidRDefault="00130FDC">
      <w:pPr>
        <w:spacing w:before="240"/>
      </w:pPr>
      <w:r>
        <w:rPr>
          <w:b/>
          <w:color w:val="2F4B8F"/>
          <w:sz w:val="28"/>
        </w:rPr>
        <w:t>The ask</w:t>
      </w:r>
    </w:p>
    <w:p w14:paraId="5720904C" w14:textId="77777777" w:rsidR="00DD556B" w:rsidRDefault="00130FDC">
      <w:pPr>
        <w:pStyle w:val="ListNumber"/>
      </w:pPr>
      <w:r>
        <w:t>A pre-competitive working group — convened by iSPIRT or NPCI, with RBI (DPSS), DFS, I4C, anchor banks, and the payments industry.</w:t>
      </w:r>
    </w:p>
    <w:p w14:paraId="174C8FA0" w14:textId="77777777" w:rsidR="00DD556B" w:rsidRDefault="00130FDC">
      <w:pPr>
        <w:pStyle w:val="ListNumber"/>
      </w:pPr>
      <w:r>
        <w:t>A regulatory sandbox / RBIH pilot of the Aware Layer + a minimal mule-graph on existing UPI rails — proving the fraud win first.</w:t>
      </w:r>
    </w:p>
    <w:p w14:paraId="6F2EA2B2" w14:textId="77777777" w:rsidR="00DD556B" w:rsidRDefault="00130FDC">
      <w:pPr>
        <w:pStyle w:val="ListNumber"/>
      </w:pPr>
      <w:r>
        <w:t>An anchor owner (a bank consortium, or a player such as Reliance or Tata) to carry the rail at national scale.</w:t>
      </w:r>
    </w:p>
    <w:p w14:paraId="6B2481FE" w14:textId="77777777" w:rsidR="00DD556B" w:rsidRDefault="00130FDC">
      <w:r>
        <w:t>This is a flag, not a pitch for sale. The blueprint is meant to become shared public infrastructure. The author can architect it and is building the fraud layer in the open; owning national infrastructure needs the institutions named above.</w:t>
      </w:r>
    </w:p>
    <w:p w14:paraId="729BECE0" w14:textId="77777777" w:rsidR="00DD556B" w:rsidRDefault="00130FDC">
      <w:pPr>
        <w:spacing w:before="240"/>
      </w:pPr>
      <w:r>
        <w:rPr>
          <w:b/>
          <w:color w:val="2F4B8F"/>
          <w:sz w:val="28"/>
        </w:rPr>
        <w:t>Key facts (sourced)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D556B" w14:paraId="06F94472" w14:textId="77777777">
        <w:tc>
          <w:tcPr>
            <w:tcW w:w="2880" w:type="dxa"/>
            <w:shd w:val="clear" w:color="auto" w:fill="11183A"/>
          </w:tcPr>
          <w:p w14:paraId="62DB341A" w14:textId="77777777" w:rsidR="00DD556B" w:rsidRDefault="00130FDC">
            <w:r>
              <w:rPr>
                <w:b/>
                <w:color w:val="FFFFFF"/>
                <w:sz w:val="19"/>
              </w:rPr>
              <w:t>Figure</w:t>
            </w:r>
          </w:p>
        </w:tc>
        <w:tc>
          <w:tcPr>
            <w:tcW w:w="2880" w:type="dxa"/>
            <w:shd w:val="clear" w:color="auto" w:fill="11183A"/>
          </w:tcPr>
          <w:p w14:paraId="0E6AA47D" w14:textId="77777777" w:rsidR="00DD556B" w:rsidRDefault="00130FDC"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2880" w:type="dxa"/>
            <w:shd w:val="clear" w:color="auto" w:fill="11183A"/>
          </w:tcPr>
          <w:p w14:paraId="2C34F720" w14:textId="77777777" w:rsidR="00DD556B" w:rsidRDefault="00130FDC">
            <w:r>
              <w:rPr>
                <w:b/>
                <w:color w:val="FFFFFF"/>
                <w:sz w:val="19"/>
              </w:rPr>
              <w:t>Source</w:t>
            </w:r>
          </w:p>
        </w:tc>
      </w:tr>
      <w:tr w:rsidR="00DD556B" w14:paraId="6B214CD8" w14:textId="77777777">
        <w:tc>
          <w:tcPr>
            <w:tcW w:w="2880" w:type="dxa"/>
          </w:tcPr>
          <w:p w14:paraId="23C37746" w14:textId="77777777" w:rsidR="00DD556B" w:rsidRDefault="00130FDC">
            <w:r>
              <w:rPr>
                <w:sz w:val="19"/>
              </w:rPr>
              <w:t>MDR on UPI / RuPay debit</w:t>
            </w:r>
          </w:p>
        </w:tc>
        <w:tc>
          <w:tcPr>
            <w:tcW w:w="2880" w:type="dxa"/>
          </w:tcPr>
          <w:p w14:paraId="1CC37234" w14:textId="77777777" w:rsidR="00DD556B" w:rsidRDefault="00130FDC">
            <w:r>
              <w:rPr>
                <w:sz w:val="19"/>
              </w:rPr>
              <w:t>Zero since 1 Jan 2020 (statutory)</w:t>
            </w:r>
          </w:p>
        </w:tc>
        <w:tc>
          <w:tcPr>
            <w:tcW w:w="2880" w:type="dxa"/>
          </w:tcPr>
          <w:p w14:paraId="1100EA18" w14:textId="77777777" w:rsidR="00DD556B" w:rsidRDefault="00130FDC">
            <w:r>
              <w:rPr>
                <w:sz w:val="19"/>
              </w:rPr>
              <w:t>PSS Act s.10A; IT Act s.269SU</w:t>
            </w:r>
          </w:p>
        </w:tc>
      </w:tr>
      <w:tr w:rsidR="00DD556B" w14:paraId="14EEFEC0" w14:textId="77777777">
        <w:tc>
          <w:tcPr>
            <w:tcW w:w="2880" w:type="dxa"/>
          </w:tcPr>
          <w:p w14:paraId="778DE829" w14:textId="77777777" w:rsidR="00DD556B" w:rsidRDefault="00130FDC">
            <w:r>
              <w:rPr>
                <w:sz w:val="19"/>
              </w:rPr>
              <w:t>Govt UPI incentive FY2024-25</w:t>
            </w:r>
          </w:p>
        </w:tc>
        <w:tc>
          <w:tcPr>
            <w:tcW w:w="2880" w:type="dxa"/>
          </w:tcPr>
          <w:p w14:paraId="1A106A1A" w14:textId="77777777" w:rsidR="00DD556B" w:rsidRDefault="00130FDC">
            <w:r>
              <w:rPr>
                <w:sz w:val="19"/>
              </w:rPr>
              <w:t>Rs 1,500 cr at 0.15%/txn, P2M &lt;= Rs 2,000</w:t>
            </w:r>
          </w:p>
        </w:tc>
        <w:tc>
          <w:tcPr>
            <w:tcW w:w="2880" w:type="dxa"/>
          </w:tcPr>
          <w:p w14:paraId="02C32F02" w14:textId="77777777" w:rsidR="00DD556B" w:rsidRDefault="00130FDC">
            <w:r>
              <w:rPr>
                <w:sz w:val="19"/>
              </w:rPr>
              <w:t>PIB (Cabinet)</w:t>
            </w:r>
          </w:p>
        </w:tc>
      </w:tr>
      <w:tr w:rsidR="00DD556B" w14:paraId="75A838D9" w14:textId="77777777">
        <w:tc>
          <w:tcPr>
            <w:tcW w:w="2880" w:type="dxa"/>
          </w:tcPr>
          <w:p w14:paraId="2FAFC6DF" w14:textId="77777777" w:rsidR="00DD556B" w:rsidRDefault="00130FDC">
            <w:r>
              <w:rPr>
                <w:sz w:val="19"/>
              </w:rPr>
              <w:t>UPI scale, Jan 2026</w:t>
            </w:r>
          </w:p>
        </w:tc>
        <w:tc>
          <w:tcPr>
            <w:tcW w:w="2880" w:type="dxa"/>
          </w:tcPr>
          <w:p w14:paraId="056D2F8F" w14:textId="77777777" w:rsidR="00DD556B" w:rsidRDefault="00130FDC">
            <w:r>
              <w:rPr>
                <w:sz w:val="19"/>
              </w:rPr>
              <w:t>21.70 bn txns / Rs 28.33 lakh cr in one month</w:t>
            </w:r>
          </w:p>
        </w:tc>
        <w:tc>
          <w:tcPr>
            <w:tcW w:w="2880" w:type="dxa"/>
          </w:tcPr>
          <w:p w14:paraId="48C62C8F" w14:textId="77777777" w:rsidR="00DD556B" w:rsidRDefault="00130FDC">
            <w:r>
              <w:rPr>
                <w:sz w:val="19"/>
              </w:rPr>
              <w:t>NPCI</w:t>
            </w:r>
          </w:p>
        </w:tc>
      </w:tr>
      <w:tr w:rsidR="00DD556B" w14:paraId="687F18BD" w14:textId="77777777">
        <w:tc>
          <w:tcPr>
            <w:tcW w:w="2880" w:type="dxa"/>
          </w:tcPr>
          <w:p w14:paraId="5199C0EF" w14:textId="77777777" w:rsidR="00DD556B" w:rsidRDefault="00130FDC">
            <w:r>
              <w:rPr>
                <w:sz w:val="19"/>
              </w:rPr>
              <w:t>Per-txn cost reference</w:t>
            </w:r>
          </w:p>
        </w:tc>
        <w:tc>
          <w:tcPr>
            <w:tcW w:w="2880" w:type="dxa"/>
          </w:tcPr>
          <w:p w14:paraId="128B8471" w14:textId="77777777" w:rsidR="00DD556B" w:rsidRDefault="00130FDC">
            <w:r>
              <w:rPr>
                <w:sz w:val="19"/>
              </w:rPr>
              <w:t>RBI Discussion Paper on Charges in Payment Systems, Aug 2022</w:t>
            </w:r>
          </w:p>
        </w:tc>
        <w:tc>
          <w:tcPr>
            <w:tcW w:w="2880" w:type="dxa"/>
          </w:tcPr>
          <w:p w14:paraId="0D64A0F2" w14:textId="77777777" w:rsidR="00DD556B" w:rsidRDefault="00130FDC">
            <w:r>
              <w:rPr>
                <w:sz w:val="19"/>
              </w:rPr>
              <w:t>RBI</w:t>
            </w:r>
          </w:p>
        </w:tc>
      </w:tr>
    </w:tbl>
    <w:p w14:paraId="6EE4E6AB" w14:textId="77777777" w:rsidR="00DD556B" w:rsidRDefault="00DD556B"/>
    <w:p w14:paraId="5E72306B" w14:textId="77777777" w:rsidR="00DD556B" w:rsidRDefault="00DD556B">
      <w:pPr>
        <w:pBdr>
          <w:bottom w:val="single" w:sz="6" w:space="1" w:color="2F4B8F"/>
        </w:pBdr>
      </w:pPr>
    </w:p>
    <w:p w14:paraId="5DB87447" w14:textId="30CD0FE9" w:rsidR="00DD556B" w:rsidRDefault="00130FDC">
      <w:r>
        <w:rPr>
          <w:i/>
          <w:color w:val="555A66"/>
          <w:sz w:val="21"/>
        </w:rPr>
        <w:t xml:space="preserve">Author: Dhirendra </w:t>
      </w:r>
      <w:r w:rsidR="0066197F">
        <w:rPr>
          <w:i/>
          <w:color w:val="555A66"/>
          <w:sz w:val="21"/>
        </w:rPr>
        <w:t xml:space="preserve">Singh </w:t>
      </w:r>
      <w:r>
        <w:rPr>
          <w:i/>
          <w:color w:val="555A66"/>
          <w:sz w:val="21"/>
        </w:rPr>
        <w:t>Rajput  ·  dhirendrasrajput@gmail.com  ·  June 2026. Full white paper, deck, and open protocol specification available on request.</w:t>
      </w:r>
    </w:p>
    <w:sectPr w:rsidR="00DD55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1168326">
    <w:abstractNumId w:val="8"/>
  </w:num>
  <w:num w:numId="2" w16cid:durableId="2132048484">
    <w:abstractNumId w:val="6"/>
  </w:num>
  <w:num w:numId="3" w16cid:durableId="964656933">
    <w:abstractNumId w:val="5"/>
  </w:num>
  <w:num w:numId="4" w16cid:durableId="1964388276">
    <w:abstractNumId w:val="4"/>
  </w:num>
  <w:num w:numId="5" w16cid:durableId="1466392886">
    <w:abstractNumId w:val="7"/>
  </w:num>
  <w:num w:numId="6" w16cid:durableId="1370883814">
    <w:abstractNumId w:val="3"/>
  </w:num>
  <w:num w:numId="7" w16cid:durableId="298846934">
    <w:abstractNumId w:val="2"/>
  </w:num>
  <w:num w:numId="8" w16cid:durableId="749930359">
    <w:abstractNumId w:val="1"/>
  </w:num>
  <w:num w:numId="9" w16cid:durableId="1239369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FDC"/>
    <w:rsid w:val="0015074B"/>
    <w:rsid w:val="0029639D"/>
    <w:rsid w:val="00326F90"/>
    <w:rsid w:val="003731CD"/>
    <w:rsid w:val="0066197F"/>
    <w:rsid w:val="00AA1D8D"/>
    <w:rsid w:val="00B47730"/>
    <w:rsid w:val="00CB0664"/>
    <w:rsid w:val="00DD55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81D9DE3-711B-42F5-A4B2-A77FA59C1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Dhirendra Singh Rajput</cp:lastModifiedBy>
  <cp:revision>2</cp:revision>
  <dcterms:created xsi:type="dcterms:W3CDTF">2013-12-23T23:15:00Z</dcterms:created>
  <dcterms:modified xsi:type="dcterms:W3CDTF">2026-06-23T16:15:00Z</dcterms:modified>
  <cp:category/>
</cp:coreProperties>
</file>