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color w:val="11183A"/>
          <w:sz w:val="40"/>
        </w:rPr>
        <w:t>Bharat Direct</w:t>
      </w:r>
    </w:p>
    <w:p>
      <w:r>
        <w:rPr>
          <w:b w:val="0"/>
          <w:i w:val="0"/>
          <w:sz w:val="21"/>
        </w:rPr>
        <w:t>An open protocol and reference toolkit for aggregator-free, bank-to-bank merchant payments — with a fraud-intelligence layer that warns users at the one moment that matters: the instant they authorize a payment.</w:t>
      </w:r>
    </w:p>
    <w:p>
      <w:r>
        <w:rPr>
          <w:b w:val="0"/>
          <w:i w:val="0"/>
          <w:sz w:val="21"/>
        </w:rPr>
        <w:t>Status: working draft / discussion starter. Not a product. Released for the ecosystem to examine, challenge, and build on.</w:t>
      </w:r>
    </w:p>
    <w:p>
      <w:pPr>
        <w:pBdr>
          <w:bottom w:val="single" w:sz="6" w:space="1" w:color="2F4B8F"/>
        </w:pBdr>
      </w:pPr>
    </w:p>
    <w:p>
      <w:pPr>
        <w:spacing w:before="240"/>
      </w:pPr>
      <w:r>
        <w:rPr>
          <w:b/>
          <w:i w:val="0"/>
          <w:color w:val="2F4B8F"/>
          <w:sz w:val="29"/>
        </w:rPr>
        <w:t>Why</w:t>
      </w:r>
    </w:p>
    <w:p>
      <w:r>
        <w:rPr>
          <w:b w:val="0"/>
          <w:i w:val="0"/>
          <w:sz w:val="21"/>
        </w:rPr>
        <w:t>India built the hardest 80% of a modern payments system — UPI, a bank-owned NPCI, and central CKYC. Two inefficiencies remain: a payment-aggregator layer that still collects rent the network no longer needs, and authorized push-payment (APP) fraud that no faster rail can stop. Bharat Direct addresses both.</w:t>
      </w:r>
    </w:p>
    <w:p>
      <w:pPr>
        <w:pStyle w:val="ListBullet"/>
      </w:pPr>
      <w:r>
        <w:rPr>
          <w:b/>
        </w:rPr>
        <w:t xml:space="preserve">Pillar 1 — Direct Settlement. </w:t>
      </w:r>
      <w:r>
        <w:t>Merchants connect to banks directly; funds settle bank-to-bank; only identity stays central. No PA money-path, no escrow.</w:t>
      </w:r>
    </w:p>
    <w:p>
      <w:pPr>
        <w:pStyle w:val="ListBullet"/>
      </w:pPr>
      <w:r>
        <w:rPr>
          <w:b/>
        </w:rPr>
        <w:t xml:space="preserve">Pillar 2 — Fraud Intelligence Consortium (FIC). </w:t>
      </w:r>
      <w:r>
        <w:t>A shared, privacy-preserving risk signal that powers on-screen interventions (the Aware Layer) at the moment of authorization.</w:t>
      </w:r>
    </w:p>
    <w:p>
      <w:pPr>
        <w:spacing w:before="240"/>
      </w:pPr>
      <w:r>
        <w:rPr>
          <w:b/>
          <w:i w:val="0"/>
          <w:color w:val="2F4B8F"/>
          <w:sz w:val="29"/>
        </w:rPr>
        <w:t>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 xml:space="preserve">            +---------------------- Aware Layer 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|   dynamic friction on the payment screen (risk-driven)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+----------------^------------------------^---------------+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                 | risk score             | pay / settle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+----------------+--------+      +---------+----------------+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|  FIC (Pillar 2)         |      |  Direct Settlement (P1)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|  mule graph, typologies |      |  thin switch, net settle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|  federated ML, scoring  |      |  CKYC central only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+-------------------------+      +--------------------------+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                        \___ co-owned, NPCI-style governance ___/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bharat-direct/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spec/            # the open protocol (SPEC.md, OpenAPI, JSON schemas, conformance tests)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merchant/        # server SDK + e-commerce plugins (Profile M/S) -- accept pay-by-bank, no PA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aware/           # Aware Layer SDK: intervention UI + risk client (Profile 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fic/             # Fraud Intelligence reference service + mock sandbox (Profile F)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examples/        # demo merchant + demo payer app wired end-to-end against the mock FIC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 xml:space="preserve">  docs/            # whitepaper, deck, this README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What you can build today (no permission needed)</w:t>
      </w:r>
    </w:p>
    <w:p>
      <w:pPr>
        <w:pStyle w:val="ListNumber"/>
      </w:pPr>
      <w:r>
        <w:t>The merchant connector against a bank/PSP UPI sandbox — proves merchants onboard without a PA.</w:t>
      </w:r>
    </w:p>
    <w:p>
      <w:pPr>
        <w:pStyle w:val="ListNumber"/>
      </w:pPr>
      <w:r>
        <w:t>A demo payer app with the Aware Layer interventions firing on a mock risk score — demonstrable from a laptop.</w:t>
      </w:r>
    </w:p>
    <w:p>
      <w:pPr>
        <w:pStyle w:val="ListNumber"/>
      </w:pPr>
      <w:r>
        <w:t>The published spec + conformance tests — the artifact others adopt without you.</w:t>
      </w:r>
    </w:p>
    <w:p>
      <w:r>
        <w:rPr>
          <w:b w:val="0"/>
          <w:i w:val="0"/>
          <w:sz w:val="21"/>
        </w:rPr>
        <w:t>What needs the ecosystem (not blocking the MVP): native split settlement (an NPCI rail feature) and a real FIC with live bank data sharing (an institutional change). Build the demonstrable pieces first; use the evidence to earn the rest.</w:t>
      </w:r>
    </w:p>
    <w:p>
      <w:pPr>
        <w:spacing w:before="240"/>
      </w:pPr>
      <w:r>
        <w:rPr>
          <w:b/>
          <w:i w:val="0"/>
          <w:color w:val="2F4B8F"/>
          <w:sz w:val="29"/>
        </w:rPr>
        <w:t>Quick start (reference, 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4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A1F2E"/>
                <w:sz w:val="17"/>
              </w:rPr>
              <w:t># run the mock FIC + demo apps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git clone https://github.com/&lt;org&gt;/bharat-direct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cd bharat-direct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make demo        # starts mock FIC, a demo merchant, and a demo payer 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A1F2E"/>
                <w:sz w:val="17"/>
              </w:rPr>
              <w:t># open the payer app, pay a "high-risk" test payee, watch the Aware Layer intervene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Conformance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Profile</w:t>
            </w:r>
          </w:p>
        </w:tc>
        <w:tc>
          <w:tcPr>
            <w:tcW w:type="dxa" w:w="4320"/>
            <w:shd w:val="clear" w:fill="11183A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Merchant: initiate single-payee payments + webhooks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Split: programmable multi-payee settlement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Aware: risk call + full intervention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FIC node: serve risk scores, federated learning, no PII export</w:t>
            </w:r>
          </w:p>
        </w:tc>
      </w:tr>
    </w:tbl>
    <w:p/>
    <w:p>
      <w:pPr>
        <w:spacing w:before="240"/>
      </w:pPr>
      <w:r>
        <w:rPr>
          <w:b/>
          <w:i w:val="0"/>
          <w:color w:val="2F4B8F"/>
          <w:sz w:val="29"/>
        </w:rPr>
        <w:t>Governance and license</w:t>
      </w:r>
    </w:p>
    <w:p>
      <w:pPr>
        <w:pStyle w:val="ListBullet"/>
      </w:pPr>
      <w:r>
        <w:rPr>
          <w:b/>
        </w:rPr>
        <w:t xml:space="preserve">Spec. </w:t>
      </w:r>
      <w:r>
        <w:t>Intended for a neutral, not-for-profit, open-membership steward (NPCI-style). Suggested license for the specification: CC BY 4.0.</w:t>
      </w:r>
    </w:p>
    <w:p>
      <w:pPr>
        <w:pStyle w:val="ListBullet"/>
      </w:pPr>
      <w:r>
        <w:rPr>
          <w:b/>
        </w:rPr>
        <w:t xml:space="preserve">Code. </w:t>
      </w:r>
      <w:r>
        <w:t>Suggested license for reference implementations: Apache-2.0.</w:t>
      </w:r>
    </w:p>
    <w:p>
      <w:pPr>
        <w:pStyle w:val="ListBullet"/>
      </w:pPr>
      <w:r>
        <w:rPr>
          <w:b/>
        </w:rPr>
        <w:t xml:space="preserve">Principle. </w:t>
      </w:r>
      <w:r>
        <w:t>This is meant to become shared public infrastructure. Contributions and critique are the point.</w:t>
      </w:r>
    </w:p>
    <w:p>
      <w:pPr>
        <w:spacing w:before="240"/>
      </w:pPr>
      <w:r>
        <w:rPr>
          <w:b/>
          <w:i w:val="0"/>
          <w:color w:val="2F4B8F"/>
          <w:sz w:val="29"/>
        </w:rPr>
        <w:t>Contributing</w:t>
      </w:r>
    </w:p>
    <w:p>
      <w:r>
        <w:rPr>
          <w:b w:val="0"/>
          <w:i w:val="0"/>
          <w:sz w:val="21"/>
        </w:rPr>
        <w:t>Open an issue describing the flow or risk you want to change. Protocol changes go through the spec/ directory with conformance tests. Be specific: cite the section, the actor, and the failure mode. The fraud-reduction claim must be measurable — proposals that affect the Aware Layer should describe how the effect would be measured.</w:t>
      </w:r>
    </w:p>
    <w:p>
      <w:pPr>
        <w:pBdr>
          <w:bottom w:val="single" w:sz="6" w:space="1" w:color="2F4B8F"/>
        </w:pBdr>
      </w:pPr>
    </w:p>
    <w:p>
      <w:r>
        <w:rPr>
          <w:b w:val="0"/>
          <w:i w:val="0"/>
          <w:sz w:val="21"/>
        </w:rPr>
        <w:t>Read the white paper for the full rationale, sourced figures, and the psychology behind the Aware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