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color w:val="11183A"/>
          <w:sz w:val="40"/>
        </w:rPr>
        <w:t>Bharat Direct — Open Protocol Specification</w:t>
      </w:r>
    </w:p>
    <w:p>
      <w:r>
        <w:rPr>
          <w:b w:val="0"/>
          <w:i w:val="0"/>
          <w:sz w:val="21"/>
        </w:rPr>
        <w:t>Version 0.1 (Working Draft). An open standard for aggregator-free, bank-to-bank merchant payments with risk-aware authorization and programmable split settlement. This document is a discussion draft for the payments ecosystem; it is not a product and not final.</w:t>
      </w:r>
    </w:p>
    <w:p>
      <w:pPr>
        <w:pBdr>
          <w:bottom w:val="single" w:sz="6" w:space="1" w:color="2F4B8F"/>
        </w:pBdr>
      </w:pPr>
    </w:p>
    <w:p>
      <w:pPr>
        <w:spacing w:before="240"/>
      </w:pPr>
      <w:r>
        <w:rPr>
          <w:b/>
          <w:i w:val="0"/>
          <w:color w:val="2F4B8F"/>
          <w:sz w:val="29"/>
        </w:rPr>
        <w:t>1. Purpose and design goals</w:t>
      </w:r>
    </w:p>
    <w:p>
      <w:r>
        <w:rPr>
          <w:b w:val="0"/>
          <w:i w:val="0"/>
          <w:sz w:val="21"/>
        </w:rPr>
        <w:t>Bharat Direct defines how a merchant accepts a payment directly through a bank (no payment aggregator in the money path), how the rail attaches a fraud risk signal at the moment of authorization, and how a single customer payment can settle to multiple payees. It is designed to sit on top of existing real-time rails (UPI-class), reusing their authentication, mandates and tokenization rather than replacing them.</w:t>
      </w:r>
    </w:p>
    <w:p>
      <w:pPr>
        <w:pStyle w:val="ListBullet"/>
      </w:pPr>
      <w:r>
        <w:rPr>
          <w:b/>
        </w:rPr>
        <w:t xml:space="preserve">No rent layer. </w:t>
      </w:r>
      <w:r>
        <w:t>A merchant connects to a sponsor bank / PSP directly. No aggregator collects a percentage in between.</w:t>
      </w:r>
    </w:p>
    <w:p>
      <w:pPr>
        <w:pStyle w:val="ListBullet"/>
      </w:pPr>
      <w:r>
        <w:rPr>
          <w:b/>
        </w:rPr>
        <w:t xml:space="preserve">Risk-aware by default. </w:t>
      </w:r>
      <w:r>
        <w:t>Every authorization can carry a risk score that drives on-screen interventions (the Aware Layer).</w:t>
      </w:r>
    </w:p>
    <w:p>
      <w:pPr>
        <w:pStyle w:val="ListBullet"/>
      </w:pPr>
      <w:r>
        <w:rPr>
          <w:b/>
        </w:rPr>
        <w:t xml:space="preserve">Programmable settlement. </w:t>
      </w:r>
      <w:r>
        <w:t>One payment may split natively to many payees in a single netted cycle, removing the need for pooled escrow.</w:t>
      </w:r>
    </w:p>
    <w:p>
      <w:pPr>
        <w:pStyle w:val="ListBullet"/>
      </w:pPr>
      <w:r>
        <w:rPr>
          <w:b/>
        </w:rPr>
        <w:t xml:space="preserve">Reuse, don’t rebuild. </w:t>
      </w:r>
      <w:r>
        <w:t>Authentication, mandates, tokenization and identity (CKYC) are referenced, not reinvented.</w:t>
      </w:r>
    </w:p>
    <w:p>
      <w:pPr>
        <w:pStyle w:val="ListBullet"/>
      </w:pPr>
      <w:r>
        <w:rPr>
          <w:b/>
        </w:rPr>
        <w:t xml:space="preserve">Spec first. </w:t>
      </w:r>
      <w:r>
        <w:t>Conformance is defined by this document so any bank, merchant platform or app can interoperate.</w:t>
      </w:r>
    </w:p>
    <w:p>
      <w:pPr>
        <w:spacing w:before="240"/>
      </w:pPr>
      <w:r>
        <w:rPr>
          <w:b/>
          <w:i w:val="0"/>
          <w:color w:val="2F4B8F"/>
          <w:sz w:val="29"/>
        </w:rPr>
        <w:t>2. Actors</w:t>
      </w:r>
    </w:p>
    <w:p>
      <w:pPr>
        <w:pStyle w:val="ListBullet"/>
      </w:pPr>
      <w:r>
        <w:rPr>
          <w:b/>
        </w:rPr>
        <w:t xml:space="preserve">Payer. </w:t>
      </w:r>
      <w:r>
        <w:t>The customer paying, holding an account at a Payer Bank.</w:t>
      </w:r>
    </w:p>
    <w:p>
      <w:pPr>
        <w:pStyle w:val="ListBullet"/>
      </w:pPr>
      <w:r>
        <w:rPr>
          <w:b/>
        </w:rPr>
        <w:t xml:space="preserve">Payee(s). </w:t>
      </w:r>
      <w:r>
        <w:t>One or more recipients (merchant, marketplace sellers, commission account).</w:t>
      </w:r>
    </w:p>
    <w:p>
      <w:pPr>
        <w:pStyle w:val="ListBullet"/>
      </w:pPr>
      <w:r>
        <w:rPr>
          <w:b/>
        </w:rPr>
        <w:t xml:space="preserve">Merchant / Platform. </w:t>
      </w:r>
      <w:r>
        <w:t>Initiates the payment request; may be a single seller or a marketplace.</w:t>
      </w:r>
    </w:p>
    <w:p>
      <w:pPr>
        <w:pStyle w:val="ListBullet"/>
      </w:pPr>
      <w:r>
        <w:rPr>
          <w:b/>
        </w:rPr>
        <w:t xml:space="preserve">Sponsor Bank / PSP. </w:t>
      </w:r>
      <w:r>
        <w:t>The consortium bank that gives the merchant rail access. Replaces the PA.</w:t>
      </w:r>
    </w:p>
    <w:p>
      <w:pPr>
        <w:pStyle w:val="ListBullet"/>
      </w:pPr>
      <w:r>
        <w:rPr>
          <w:b/>
        </w:rPr>
        <w:t xml:space="preserve">Switch. </w:t>
      </w:r>
      <w:r>
        <w:t>Thin, neutral router and net-settlement engine. Never custodies funds.</w:t>
      </w:r>
    </w:p>
    <w:p>
      <w:pPr>
        <w:pStyle w:val="ListBullet"/>
      </w:pPr>
      <w:r>
        <w:rPr>
          <w:b/>
        </w:rPr>
        <w:t xml:space="preserve">FIC. </w:t>
      </w:r>
      <w:r>
        <w:t>Fraud Intelligence Consortium — returns a risk score; never receives raw PII.</w:t>
      </w:r>
    </w:p>
    <w:p>
      <w:pPr>
        <w:pStyle w:val="ListBullet"/>
      </w:pPr>
      <w:r>
        <w:rPr>
          <w:b/>
        </w:rPr>
        <w:t xml:space="preserve">Aware Layer. </w:t>
      </w:r>
      <w:r>
        <w:t>Client-side component in the payer app that renders interventions based on the score.</w:t>
      </w:r>
    </w:p>
    <w:p>
      <w:pPr>
        <w:spacing w:before="240"/>
      </w:pPr>
      <w:r>
        <w:rPr>
          <w:b/>
          <w:i w:val="0"/>
          <w:color w:val="2F4B8F"/>
          <w:sz w:val="29"/>
        </w:rPr>
        <w:t>3. 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Merchant/Platform                 Sponsor Bank / Switch              Payer 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POST /payments (+split manifest)  |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|-----------------------------------&gt;|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collect / intent ---------&gt;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      POST /risk/score ----&gt; FIC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&lt;---------- riskScore -------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authorize  [Aware Layer UI]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&lt;---- payerAuth (PIN/bio) ---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                                  |  debit -&gt; net settle -&gt; credit(N payees)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|  &lt;---------- webhook: SETTLED -----|                              |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4. Core resources and endpoints</w:t>
      </w:r>
    </w:p>
    <w:p>
      <w:r>
        <w:rPr>
          <w:b w:val="0"/>
          <w:i w:val="0"/>
          <w:sz w:val="21"/>
        </w:rPr>
        <w:t>All endpoints are HTTPS, JSON, and require mutual authentication and request signing (Section 9). Base path: /v1.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/payments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Initiate a payment (single or split). Returns a payment with state INITIATED.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/payments/{id}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Fetch payment state and settlement legs.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/payments/{id}/refund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Reverse all or part of a settled payment.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/risk/score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FIC: return a risk band + reasons for a proposed authorization.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/mandates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 a recurring mandate (AutoPay-class).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/webhooks/test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Verify a merchant/bank webhook endpoint.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5. The payment request (with split manifest)</w:t>
      </w:r>
    </w:p>
    <w:p>
      <w:r>
        <w:rPr>
          <w:b w:val="0"/>
          <w:i w:val="0"/>
          <w:sz w:val="21"/>
        </w:rPr>
        <w:t>A marketplace expresses the split inline. The sum of split amounts MUST equal amount. If splits is omitted, the whole amount settles to a single default payee.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POST /v1/payments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"merchantId": "amzn-in",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"orderRef": "AMZ-7781",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"amount": 1000,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"currency": "INR",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"payer": { "handle": "customer@psp" },           // or null for intent flow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"capture": "AUTO",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"splits":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"sellerA@bank", "amount": 400, "purpose": "GOODS"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"sellerB@bank", "amount": 450, "purpose": "GOODS"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"amzn-comm@bank", "amount": 150, "purpose": "COMMISSION"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"callbackUrl": "https://merchant.example/bd/webhook",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"idempotencyKey": "AMZ-7781-1"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}</w:t>
            </w:r>
          </w:p>
        </w:tc>
      </w:tr>
    </w:tbl>
    <w:p/>
    <w:p>
      <w:r>
        <w:rPr>
          <w:b w:val="0"/>
          <w:i w:val="0"/>
          <w:sz w:val="21"/>
        </w:rPr>
        <w:t>Response: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201 Created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"paymentId": "pay_01HF...",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"state": "INITIATED",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"authUrl": "upi://pay?...",        // intent deep link, when payer not pre-bound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"expiresAt": "2026-06-23T10:05:00Z"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}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6. The risk score (FIC) and the Aware Layer</w:t>
      </w:r>
    </w:p>
    <w:p>
      <w:r>
        <w:rPr>
          <w:b w:val="0"/>
          <w:i w:val="0"/>
          <w:sz w:val="21"/>
        </w:rPr>
        <w:t>Before the payer authorizes, the Payer Bank calls the FIC. The FIC returns a band and machine-readable reasons; it does NOT return raw data about other customers. The Aware Layer maps the band to an intervention.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POST /v1/risk/score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"payerRef": "hash:9af1...",        // pseudonymous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"payeeRef": "sellerA@bank",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"amount": 1000,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"context": { "newPayee": true, "channel": "INTENT", "screenShareDetected": false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--&gt;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"band": "HIGH",                    // LOW | ELEVATED | HIGH | BLOCK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"score": 0.86,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"reasons": ["PAYEE_RECENT_FRAUD_REPORTS", "NEW_PAYEE", "AMOUNT_ANOMALY"],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"payeeReports24h": 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}</w:t>
            </w:r>
          </w:p>
        </w:tc>
      </w:tr>
    </w:tbl>
    <w:p/>
    <w:p>
      <w:r>
        <w:rPr>
          <w:b w:val="0"/>
          <w:i w:val="0"/>
          <w:sz w:val="21"/>
        </w:rPr>
        <w:t>Intervention mapping (a conforming Aware Layer MUST implement at least these):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Band</w:t>
            </w:r>
          </w:p>
        </w:tc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Required client behaviour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Frictionless. No interruption.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ELEVATED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Named-threat notice + payee reputation shown; single confirm.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Unskippable cooling countdown + trance-breaker question ("Is someone instructing you to pay right now?") + active-recall confirm.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BLOCK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Prevent authorization; route to helpline / cooling period; log to FIC.</w:t>
            </w:r>
          </w:p>
        </w:tc>
      </w:tr>
    </w:tbl>
    <w:p/>
    <w:p>
      <w:r>
        <w:rPr>
          <w:b w:val="0"/>
          <w:i w:val="0"/>
          <w:sz w:val="21"/>
        </w:rPr>
        <w:t>Intervention outcome is reported back so the FIC learns which interventions stopped which losses: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POST /v1/risk/outcome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 "scoreId": "rsk_01...", "shown": "HIGH", "userAction": "ABORTED", "abortReason": "TRANCE_BREAKER" }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7. Settlement model</w:t>
      </w:r>
    </w:p>
    <w:p>
      <w:r>
        <w:rPr>
          <w:b w:val="0"/>
          <w:i w:val="0"/>
          <w:sz w:val="21"/>
        </w:rPr>
        <w:t>The Switch computes net positions across all banks for a cycle and settles directly to each payee account. There is no pooled escrow and no intermediary float. Each split becomes an independent settlement leg with its own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GET /v1/payments/pay_01HF...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"paymentId": "pay_01HF...",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"state": "SETTLED",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"legs":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"sellerA@bank", "amount": 400, "state": "SETTLED", "utr": "..."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"sellerB@bank", "amount": 450, "state": "SETTLED", "utr": "..."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{ "payee": "amzn-comm@bank", "amount": 150, "state": "SETTLED", "utr": "..."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}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8. Refunds, reversals and disputes</w:t>
      </w:r>
    </w:p>
    <w:p>
      <w:pPr>
        <w:pStyle w:val="ListBullet"/>
      </w:pPr>
      <w:r>
        <w:rPr>
          <w:b/>
        </w:rPr>
        <w:t xml:space="preserve">Refund. </w:t>
      </w:r>
      <w:r>
        <w:t>POST /payments/{id}/refund with optional per-leg amounts; issued as a reversal message on the rail, not a card-style chargeback.</w:t>
      </w:r>
    </w:p>
    <w:p>
      <w:pPr>
        <w:pStyle w:val="ListBullet"/>
      </w:pPr>
      <w:r>
        <w:rPr>
          <w:b/>
        </w:rPr>
        <w:t xml:space="preserve">Dispute. </w:t>
      </w:r>
      <w:r>
        <w:t>Raised through the consortium rulebook and online dispute resolution (ODR); the protocol carries dispute state but arbitration is governed off-band.</w:t>
      </w:r>
    </w:p>
    <w:p>
      <w:pPr>
        <w:pStyle w:val="ListBullet"/>
      </w:pPr>
      <w:r>
        <w:rPr>
          <w:b/>
        </w:rPr>
        <w:t xml:space="preserve">Liability. </w:t>
      </w:r>
      <w:r>
        <w:t>For APP fraud, the protocol records the receiving-bank reference so a shared-liability rulebook can apportion loss (see whitepaper, Section 5).</w:t>
      </w:r>
    </w:p>
    <w:p>
      <w:pPr>
        <w:spacing w:before="240"/>
      </w:pPr>
      <w:r>
        <w:rPr>
          <w:b/>
          <w:i w:val="0"/>
          <w:color w:val="2F4B8F"/>
          <w:sz w:val="29"/>
        </w:rPr>
        <w:t>9. Security and privacy</w:t>
      </w:r>
    </w:p>
    <w:p>
      <w:pPr>
        <w:pStyle w:val="ListBullet"/>
      </w:pPr>
      <w:r>
        <w:rPr>
          <w:b/>
        </w:rPr>
        <w:t xml:space="preserve">Transport &amp; auth. </w:t>
      </w:r>
      <w:r>
        <w:t>Mutual TLS; every request signed (detached JWS). Replay-protected with idempotencyKey and timestamp.</w:t>
      </w:r>
    </w:p>
    <w:p>
      <w:pPr>
        <w:pStyle w:val="ListBullet"/>
      </w:pPr>
      <w:r>
        <w:rPr>
          <w:b/>
        </w:rPr>
        <w:t xml:space="preserve">Idempotency. </w:t>
      </w:r>
      <w:r>
        <w:t>POST /payments and refunds MUST be idempotent on idempotencyKey.</w:t>
      </w:r>
    </w:p>
    <w:p>
      <w:pPr>
        <w:pStyle w:val="ListBullet"/>
      </w:pPr>
      <w:r>
        <w:rPr>
          <w:b/>
        </w:rPr>
        <w:t xml:space="preserve">PII minimization. </w:t>
      </w:r>
      <w:r>
        <w:t>The FIC receives pseudonymous references (hashed), never raw identity. Identity resolution stays with CKYC and the Payer Bank.</w:t>
      </w:r>
    </w:p>
    <w:p>
      <w:pPr>
        <w:pStyle w:val="ListBullet"/>
      </w:pPr>
      <w:r>
        <w:rPr>
          <w:b/>
        </w:rPr>
        <w:t xml:space="preserve">Federated learning. </w:t>
      </w:r>
      <w:r>
        <w:t>Member banks contribute model gradients/signals, not raw customer rows. Conformant FIC nodes MUST NOT export raw PII across members.</w:t>
      </w:r>
    </w:p>
    <w:p>
      <w:pPr>
        <w:pStyle w:val="ListBullet"/>
      </w:pPr>
      <w:r>
        <w:rPr>
          <w:b/>
        </w:rPr>
        <w:t xml:space="preserve">Auditability. </w:t>
      </w:r>
      <w:r>
        <w:t>Every score, intervention shown, and outcome is logged for supervision.</w:t>
      </w:r>
    </w:p>
    <w:p>
      <w:pPr>
        <w:spacing w:before="240"/>
      </w:pPr>
      <w:r>
        <w:rPr>
          <w:b/>
          <w:i w:val="0"/>
          <w:color w:val="2F4B8F"/>
          <w:sz w:val="29"/>
        </w:rPr>
        <w:t>10.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4xx/5xx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{ "error": "SPLIT_SUM_MISMATCH", "message": "splits must equal amount", "traceId": "..."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SPLIT_SUM_MISMATCH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Sum of splits != amount.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PAYEE_BLOCKED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payee is BLOCK-banded by the FIC.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IDEMPOTENCY_CONFLICT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Reused key with different body.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MANDATE_REQUIRED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Recurring debit without a valid mandate.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11. Conformance profiles</w:t>
      </w:r>
    </w:p>
    <w:p>
      <w:r>
        <w:rPr>
          <w:b w:val="0"/>
          <w:i w:val="0"/>
          <w:sz w:val="21"/>
        </w:rPr>
        <w:t>An implementation declares one or more profiles so partners know what it supports:</w:t>
      </w:r>
    </w:p>
    <w:p>
      <w:pPr>
        <w:pStyle w:val="ListBullet"/>
      </w:pPr>
      <w:r>
        <w:rPr>
          <w:b/>
        </w:rPr>
        <w:t xml:space="preserve">Profile M (Merchant). </w:t>
      </w:r>
      <w:r>
        <w:t>Can initiate single-payee payments and handle webhooks.</w:t>
      </w:r>
    </w:p>
    <w:p>
      <w:pPr>
        <w:pStyle w:val="ListBullet"/>
      </w:pPr>
      <w:r>
        <w:rPr>
          <w:b/>
        </w:rPr>
        <w:t xml:space="preserve">Profile S (Split). </w:t>
      </w:r>
      <w:r>
        <w:t>Adds programmable split settlement.</w:t>
      </w:r>
    </w:p>
    <w:p>
      <w:pPr>
        <w:pStyle w:val="ListBullet"/>
      </w:pPr>
      <w:r>
        <w:rPr>
          <w:b/>
        </w:rPr>
        <w:t xml:space="preserve">Profile A (Aware). </w:t>
      </w:r>
      <w:r>
        <w:t>Implements the risk call and the full intervention mapping in Section 6.</w:t>
      </w:r>
    </w:p>
    <w:p>
      <w:pPr>
        <w:pStyle w:val="ListBullet"/>
      </w:pPr>
      <w:r>
        <w:rPr>
          <w:b/>
        </w:rPr>
        <w:t xml:space="preserve">Profile F (FIC node). </w:t>
      </w:r>
      <w:r>
        <w:t>Serves /risk/score and participates in federated learning without exporting PII.</w:t>
      </w:r>
    </w:p>
    <w:p>
      <w:pPr>
        <w:spacing w:before="240"/>
      </w:pPr>
      <w:r>
        <w:rPr>
          <w:b/>
          <w:i w:val="0"/>
          <w:color w:val="2F4B8F"/>
          <w:sz w:val="29"/>
        </w:rPr>
        <w:t>12. Reference implementation (planned modules)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bharat-direct-merchant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 SDK + e-commerce plugins (WooCommerce/Shopify/Magento) — Profile M/S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bharat-direct-aware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Drop-in Aware Layer UI + risk client — Profile 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bharat-direct-fic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Risk-score API + mule-graph schema + federated-learning reference — Profile F (mock/sandbox first)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(reference)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bharat-direct-spec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This document + OpenAPI + JSON schemas + conformance tests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13. Versioning and governance</w:t>
      </w:r>
    </w:p>
    <w:p>
      <w:r>
        <w:rPr>
          <w:b w:val="0"/>
          <w:i w:val="0"/>
          <w:sz w:val="21"/>
        </w:rPr>
        <w:t>Semantic versioning on the protocol. Breaking changes increment the major version and the /v{n} base path. The specification is intended to be stewarded by a neutral, not-for-profit consortium (NPCI-style governance) with open membership, so no single vendor controls it. Until then this is an open discussion draft released for comment.</w:t>
      </w:r>
    </w:p>
    <w:p>
      <w:pPr>
        <w:pBdr>
          <w:bottom w:val="single" w:sz="6" w:space="1" w:color="2F4B8F"/>
        </w:pBdr>
      </w:pPr>
    </w:p>
    <w:p>
      <w:r>
        <w:rPr>
          <w:b w:val="0"/>
          <w:i w:val="0"/>
          <w:sz w:val="21"/>
        </w:rPr>
        <w:t>See the accompanying white paper "Bharat Direct — Finishing what UPI started" for the economic and policy rationale, sourced figures, and the fraud-psychology basis for the Aware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