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1183A"/>
          <w:sz w:val="80"/>
        </w:rPr>
        <w:t>BHARAT DIRECT</w:t>
      </w:r>
    </w:p>
    <w:p>
      <w:pPr>
        <w:jc w:val="center"/>
      </w:pPr>
      <w:r>
        <w:rPr>
          <w:i/>
          <w:color w:val="C87A00"/>
          <w:sz w:val="32"/>
        </w:rPr>
        <w:t>Finishing what UPI started</w:t>
      </w:r>
    </w:p>
    <w:p/>
    <w:p>
      <w:pPr>
        <w:jc w:val="center"/>
      </w:pPr>
      <w:r>
        <w:rPr>
          <w:color w:val="555A66"/>
          <w:sz w:val="26"/>
        </w:rPr>
        <w:t>A bank-owned, aggregator-free payments rail —</w:t>
        <w:br/>
        <w:t>and a Fraud Intelligence Consortium to close the human gap UPI left open</w:t>
      </w:r>
    </w:p>
    <w:p/>
    <w:p/>
    <w:p/>
    <w:p/>
    <w:p/>
    <w:p/>
    <w:p/>
    <w:p/>
    <w:p>
      <w:pPr>
        <w:jc w:val="center"/>
      </w:pPr>
      <w:r>
        <w:rPr>
          <w:color w:val="555A66"/>
          <w:sz w:val="22"/>
        </w:rPr>
        <w:t>A discussion paper for regulators, banks and the payments industry</w:t>
      </w:r>
    </w:p>
    <w:p>
      <w:pPr>
        <w:jc w:val="center"/>
      </w:pPr>
      <w:r>
        <w:rPr>
          <w:i/>
          <w:color w:val="555A66"/>
          <w:sz w:val="20"/>
        </w:rPr>
        <w:t>Working draft · For circulation and comment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11183A"/>
          <w:sz w:val="36"/>
        </w:rPr>
        <w:t>Executive summary</w:t>
      </w:r>
    </w:p>
    <w:p>
      <w:pPr>
        <w:pBdr>
          <w:bottom w:val="single" w:sz="6" w:space="1" w:color="2F4B8F"/>
        </w:pBdr>
      </w:pPr>
    </w:p>
    <w:p>
      <w:r>
        <w:rPr>
          <w:i w:val="0"/>
          <w:sz w:val="22"/>
        </w:rPr>
        <w:t>India has built the hardest 80% of a modern, low-cost payments system: a real-time rail (UPI) processing over 21 billion transactions a month, a bank-owned not-for-profit operator (NPCI), and a central identity registry (CKYC/CERSAI). Two structural inefficiencies remain.</w:t>
      </w:r>
    </w:p>
    <w:p>
      <w:pPr>
        <w:pStyle w:val="ListBullet"/>
      </w:pPr>
      <w:r>
        <w:rPr>
          <w:b/>
        </w:rPr>
        <w:t>The toll-booth:</w:t>
      </w:r>
      <w:r>
        <w:t xml:space="preserve"> a private payment-aggregator (PA) layer still collects intermediation rent between merchants and banks, even though the money itself can move bank-to-bank.</w:t>
      </w:r>
    </w:p>
    <w:p>
      <w:pPr>
        <w:pStyle w:val="ListBullet"/>
      </w:pPr>
      <w:r>
        <w:rPr>
          <w:b/>
        </w:rPr>
        <w:t>The fraud gap:</w:t>
      </w:r>
      <w:r>
        <w:t xml:space="preserve"> authorized push-payment (APP) / social-engineering fraud — where a victim is psychologically manipulated into authorising a real payment — is the fastest-growing financial crime, and the one gap a faster rail does nothing to close.</w:t>
      </w:r>
    </w:p>
    <w:p>
      <w:r>
        <w:rPr>
          <w:i w:val="0"/>
          <w:sz w:val="22"/>
        </w:rPr>
        <w:t>Bharat Direct proposes two co-owned, NPCI-style utilities that solve both, and which only work at network scale:</w:t>
      </w:r>
    </w:p>
    <w:p>
      <w:pPr>
        <w:pStyle w:val="ListBullet"/>
      </w:pPr>
      <w:r>
        <w:rPr>
          <w:b/>
        </w:rPr>
        <w:t>Pillar 1 — Direct Settlement Consortium (DSC):</w:t>
      </w:r>
      <w:r>
        <w:t xml:space="preserve"> merchants connect directly to banks; funds settle bank-to-bank over a thin switch; only identity (CKYC) stays central. The PA money-path — and its escrow regime — disappears.</w:t>
      </w:r>
    </w:p>
    <w:p>
      <w:pPr>
        <w:pStyle w:val="ListBullet"/>
      </w:pPr>
      <w:r>
        <w:rPr>
          <w:b/>
        </w:rPr>
        <w:t>Pillar 2 — Fraud Intelligence Consortium (FIC):</w:t>
      </w:r>
      <w:r>
        <w:t xml:space="preserve"> a shared, privacy-preserving fraud utility — a real-time mule/payee reputation graph, a scam-typology library, and federated machine learning — that powers an on-screen "Aware Layer" delivering precise, in-the-moment warnings at the exact instant of payment authorisation.</w:t>
      </w:r>
    </w:p>
    <w:p>
      <w:r>
        <w:rPr>
          <w:i w:val="0"/>
          <w:sz w:val="22"/>
        </w:rPr>
        <w:t>Together they answer the only serious objection to removing aggregators — "cheaper, but who handles fraud?" — and they handle it better than any single intermediary could, because fraud is a network phenomenon that no isolated institution can see whole.</w:t>
      </w:r>
    </w:p>
    <w:p>
      <w:pPr>
        <w:spacing w:before="280" w:after="80"/>
      </w:pPr>
      <w:r>
        <w:rPr>
          <w:rFonts w:ascii="Calibri" w:hAnsi="Calibri"/>
          <w:b/>
          <w:color w:val="11183A"/>
          <w:sz w:val="32"/>
        </w:rPr>
        <w:t>1.  The problem: rent and fear</w:t>
      </w:r>
    </w:p>
    <w:p>
      <w:pPr>
        <w:pBdr>
          <w:bottom w:val="single" w:sz="6" w:space="1" w:color="2F4B8F"/>
        </w:pBdr>
      </w:pPr>
    </w:p>
    <w:p>
      <w:pPr>
        <w:spacing w:before="160" w:after="40"/>
      </w:pPr>
      <w:r>
        <w:rPr>
          <w:b/>
          <w:color w:val="2F4B8F"/>
          <w:sz w:val="24"/>
        </w:rPr>
        <w:t>Where the cost actually sits</w:t>
      </w:r>
    </w:p>
    <w:p>
      <w:r>
        <w:rPr>
          <w:i w:val="0"/>
          <w:sz w:val="22"/>
        </w:rPr>
        <w:t>On a typical card transaction, the merchant fee splits roughly into interchange to the issuing bank (60–80%), a scheme fee to the card network (5–15%), and the acquirer-plus-aggregator margin (10–25%). Only the last of these is pure intermediation rent — the interchange funds genuine credit risk; the scheme fee funds a network that a domestic rail can replace. For account-based payments, UPI already proves the rent can fall to near-zero.</w:t>
      </w:r>
    </w:p>
    <w:p>
      <w:pPr>
        <w:spacing w:before="160" w:after="40"/>
      </w:pPr>
      <w:r>
        <w:rPr>
          <w:b/>
          <w:color w:val="2F4B8F"/>
          <w:sz w:val="24"/>
        </w:rPr>
        <w:t>Why fraud is the harder half</w:t>
      </w:r>
    </w:p>
    <w:p>
      <w:r>
        <w:rPr>
          <w:i w:val="0"/>
          <w:sz w:val="22"/>
        </w:rPr>
        <w:t>A faster, cheaper rail does not stop a human being from being talked into paying a criminal. APP fraud now dominates real-time-payment fraud worldwide. It cannot be solved by moving money faster — only by intervening at the moment a person authorises the payment.</w:t>
      </w:r>
    </w:p>
    <w:p>
      <w:pPr>
        <w:spacing w:before="280" w:after="80"/>
      </w:pPr>
      <w:r>
        <w:rPr>
          <w:rFonts w:ascii="Calibri" w:hAnsi="Calibri"/>
          <w:b/>
          <w:color w:val="11183A"/>
          <w:sz w:val="32"/>
        </w:rPr>
        <w:t>2.  The thesis: complete what India already built</w:t>
      </w:r>
    </w:p>
    <w:p>
      <w:pPr>
        <w:pBdr>
          <w:bottom w:val="single" w:sz="6" w:space="1" w:color="2F4B8F"/>
        </w:pBdr>
      </w:pPr>
    </w:p>
    <w:p>
      <w:r>
        <w:rPr>
          <w:i w:val="0"/>
          <w:sz w:val="22"/>
        </w:rPr>
        <w:t>Bharat Direct is not a new paradigm. NPCI is already a bank consortium. CERSAI is already a central identity utility. UPI already moves money bank-to-bank with no aggregator in the path for person-to-merchant payments. The proposal simply extends that proven, co-owned model up into the merchant-services layer that PAs monopolise — and adds the one shared utility India has not yet built: a fraud-intelligence network.</w:t>
      </w:r>
    </w:p>
    <w:p>
      <w:pPr>
        <w:spacing w:before="280" w:after="80"/>
      </w:pPr>
      <w:r>
        <w:rPr>
          <w:rFonts w:ascii="Calibri" w:hAnsi="Calibri"/>
          <w:b/>
          <w:color w:val="11183A"/>
          <w:sz w:val="32"/>
        </w:rPr>
        <w:t>3.  The psychology of social-engineering fraud</w:t>
      </w:r>
    </w:p>
    <w:p>
      <w:pPr>
        <w:pBdr>
          <w:bottom w:val="single" w:sz="6" w:space="1" w:color="2F4B8F"/>
        </w:pBdr>
      </w:pPr>
    </w:p>
    <w:p>
      <w:r>
        <w:rPr>
          <w:i w:val="0"/>
          <w:sz w:val="22"/>
        </w:rPr>
        <w:t>The single most important fact: victims almost always know scams exist. Education did not fail because they were ignorant — it failed because knowledge stored yesterday is unavailable in the moment of attack. The mechanism, stage by stage:</w:t>
      </w:r>
    </w:p>
    <w:p>
      <w:pPr>
        <w:spacing w:before="160" w:after="40"/>
      </w:pPr>
      <w:r>
        <w:rPr>
          <w:b/>
          <w:color w:val="2F4B8F"/>
          <w:sz w:val="24"/>
        </w:rPr>
        <w:t>3.1  The hijack of deliberate thought</w:t>
      </w:r>
    </w:p>
    <w:p>
      <w:r>
        <w:rPr>
          <w:i w:val="0"/>
          <w:sz w:val="22"/>
        </w:rPr>
        <w:t>Human cognition runs on a fast, automatic, emotional system and a slow, deliberate, sceptical one. A scam’s first move is to trigger a visceral "hot state" — panic, fear, urgency or excitement. In that state, judgment narrows and the victim literally cannot access their own prior knowledge. This is the hot–cold empathy gap: the calm person who "would never fall for it" and the panicked person mid-call are, functionally, two different decision-makers.</w:t>
      </w:r>
    </w:p>
    <w:p>
      <w:pPr>
        <w:spacing w:before="160" w:after="40"/>
      </w:pPr>
      <w:r>
        <w:rPr>
          <w:b/>
          <w:color w:val="2F4B8F"/>
          <w:sz w:val="24"/>
        </w:rPr>
        <w:t>3.2  The pressure levers</w:t>
      </w:r>
    </w:p>
    <w:p>
      <w:pPr>
        <w:pStyle w:val="ListBullet"/>
      </w:pPr>
      <w:r>
        <w:rPr>
          <w:b/>
        </w:rPr>
        <w:t>Authority —</w:t>
      </w:r>
      <w:r>
        <w:t xml:space="preserve"> "I am calling from the RBI / your bank’s fraud team / the police."</w:t>
      </w:r>
    </w:p>
    <w:p>
      <w:pPr>
        <w:pStyle w:val="ListBullet"/>
      </w:pPr>
      <w:r>
        <w:rPr>
          <w:b/>
        </w:rPr>
        <w:t>Fear and urgency —</w:t>
      </w:r>
      <w:r>
        <w:t xml:space="preserve"> "Your account is compromised; act in ten minutes or lose everything." Digital-arrest scams weaponise this hardest.</w:t>
      </w:r>
    </w:p>
    <w:p>
      <w:pPr>
        <w:pStyle w:val="ListBullet"/>
      </w:pPr>
      <w:r>
        <w:rPr>
          <w:b/>
        </w:rPr>
        <w:t>Reward and greed —</w:t>
      </w:r>
      <w:r>
        <w:t xml:space="preserve"> refunds, lotteries, jobs, investment returns.</w:t>
      </w:r>
    </w:p>
    <w:p>
      <w:pPr>
        <w:pStyle w:val="ListBullet"/>
      </w:pPr>
      <w:r>
        <w:rPr>
          <w:b/>
        </w:rPr>
        <w:t>Liking and trust —</w:t>
      </w:r>
      <w:r>
        <w:t xml:space="preserve"> romance scams, or a spoofed number of someone known.</w:t>
      </w:r>
    </w:p>
    <w:p>
      <w:pPr>
        <w:pStyle w:val="ListBullet"/>
      </w:pPr>
      <w:r>
        <w:rPr>
          <w:b/>
        </w:rPr>
        <w:t>Commitment and consistency —</w:t>
      </w:r>
      <w:r>
        <w:t xml:space="preserve"> a tiny first step ("just share the OTP to verify") that escalates.</w:t>
      </w:r>
    </w:p>
    <w:p>
      <w:pPr>
        <w:spacing w:before="160" w:after="40"/>
      </w:pPr>
      <w:r>
        <w:rPr>
          <w:b/>
          <w:color w:val="2F4B8F"/>
          <w:sz w:val="24"/>
        </w:rPr>
        <w:t>3.3  Isolation and tempo</w:t>
      </w:r>
    </w:p>
    <w:p>
      <w:r>
        <w:rPr>
          <w:i w:val="0"/>
          <w:sz w:val="22"/>
        </w:rPr>
        <w:t>The fraudster keeps the victim on the line, alone and rushed: "Don’t hang up. Don’t tell anyone — they’re in on it. Do it now." The scam is a closed loop with one voice in it; no second opinion can enter.</w:t>
      </w:r>
    </w:p>
    <w:p>
      <w:pPr>
        <w:spacing w:before="160" w:after="40"/>
      </w:pPr>
      <w:r>
        <w:rPr>
          <w:b/>
          <w:color w:val="2F4B8F"/>
          <w:sz w:val="24"/>
        </w:rPr>
        <w:t>3.4  The funnel to a single act</w:t>
      </w:r>
    </w:p>
    <w:p>
      <w:r>
        <w:rPr>
          <w:i w:val="0"/>
          <w:sz w:val="22"/>
        </w:rPr>
        <w:t>Every scam, whatever the script, converges on one moment: the victim authorising the payment. That is the chokepoint — everything before it is manipulation; everything after is irreversible.</w:t>
      </w:r>
    </w:p>
    <w:p>
      <w:pPr>
        <w:spacing w:before="160" w:after="40"/>
      </w:pPr>
      <w:r>
        <w:rPr>
          <w:b/>
          <w:color w:val="2F4B8F"/>
          <w:sz w:val="24"/>
        </w:rPr>
        <w:t>The design conclusion</w:t>
      </w:r>
    </w:p>
    <w:p>
      <w:r>
        <w:rPr>
          <w:i/>
          <w:sz w:val="22"/>
        </w:rPr>
        <w:t>You cannot stop people being called. You can only intervene at the moment of authorisation, and the job there is narrow and exact: break the closed loop, cool the hot state, and bring deliberate thinking back online — for two seconds, for the right person, at the right time.</w:t>
      </w:r>
    </w:p>
    <w:p>
      <w:pPr>
        <w:spacing w:before="280" w:after="80"/>
      </w:pPr>
      <w:r>
        <w:rPr>
          <w:rFonts w:ascii="Calibri" w:hAnsi="Calibri"/>
          <w:b/>
          <w:color w:val="11183A"/>
          <w:sz w:val="32"/>
        </w:rPr>
        <w:t>4.  The Aware Layer: spot-awareness on the screen</w:t>
      </w:r>
    </w:p>
    <w:p>
      <w:pPr>
        <w:pBdr>
          <w:bottom w:val="single" w:sz="6" w:space="1" w:color="2F4B8F"/>
        </w:pBdr>
      </w:pPr>
    </w:p>
    <w:p>
      <w:r>
        <w:rPr>
          <w:i w:val="0"/>
          <w:sz w:val="22"/>
        </w:rPr>
        <w:t>Generic "Beware of fraud" banners fail for a precise reason: habituation. A warning that fires on every transaction becomes wallpaper within a week. The design law follows:</w:t>
      </w:r>
    </w:p>
    <w:p>
      <w:r>
        <w:rPr>
          <w:i/>
          <w:sz w:val="22"/>
        </w:rPr>
        <w:t>Warnings must be rare, specific, and earned by real risk — or they are worse than nothing.</w:t>
      </w:r>
    </w:p>
    <w:p>
      <w:r>
        <w:rPr>
          <w:i w:val="0"/>
          <w:sz w:val="22"/>
        </w:rPr>
        <w:t>This is exactly why the Fraud Intelligence Consortium is not decoration: only shared, precise intelligence lets a warning fire only when it matters, which is the only way it keeps its power. The interventions, escalating with the consortium risk score: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118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Intervention</w:t>
            </w:r>
          </w:p>
        </w:tc>
        <w:tc>
          <w:tcPr>
            <w:tcW w:type="dxa" w:w="4320"/>
            <w:shd w:val="clear" w:fill="1118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it defeats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Dynamic friction — frictionless normally; staged interruption only on high risk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Habituation; preserves UX for the 99%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Cooling interstitial — mandatory, unskippable countdown on a high-risk new payee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The fraudster’s tempo and manufactured urgency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Trance-breaker question — "Is someone on the phone right now telling you to pay?"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Isolation — inserts a third voice; externalises manipulation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Named-threat warning — "This matches a digital-arrest scam. No bank asks you to move money to a safe account."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Vagueness — specificity restores salience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Payee reputation at confirm — "This account has 9 fraud reports in 24h"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The missing second opinion at the chokepoint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New-payee cap and ageing — small first transfer; limit rises as relationship ages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Damage from any single hijack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Active-recall confirm — type the purpose / re-read the payee 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Autopilot tapping; re-engages deliberate thought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Behavioural-anomaly interrupt — odd hour, rushed taps, screen-share detected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sz w:val="18"/>
              </w:rPr>
              <w:t>The hot state, detected from how the user transacts</w:t>
            </w:r>
          </w:p>
        </w:tc>
      </w:tr>
    </w:tbl>
    <w:p>
      <w:r>
        <w:rPr>
          <w:i w:val="0"/>
          <w:sz w:val="22"/>
        </w:rPr>
      </w:r>
    </w:p>
    <w:p>
      <w:r>
        <w:rPr>
          <w:i w:val="0"/>
          <w:sz w:val="22"/>
        </w:rPr>
        <w:t>The unifying idea: the fraudster’s only power is an uninterrupted, isolated, urgent loop. Every intervention is a way for the screen to become the second voice in the room.</w:t>
      </w:r>
    </w:p>
    <w:p>
      <w:r>
        <w:rPr>
          <w:i w:val="0"/>
          <w:sz w:val="22"/>
        </w:rPr>
        <w:t>The world is converging here, so India can leapfrog rather than pioneer alone: UK Confirmation of Payee; the UK Payment Systems Regulator’s 2024 mandatory-reimbursement rules splitting APP liability 50/50 between sending and receiving banks; Singapore’s Money Lock and Shared Responsibility Framework; Australia’s Scam-Safe Accord. India has the world’s largest real-time rail and no equivalent coordinated layer yet.</w:t>
      </w:r>
    </w:p>
    <w:p>
      <w:pPr>
        <w:spacing w:before="280" w:after="80"/>
      </w:pPr>
      <w:r>
        <w:rPr>
          <w:rFonts w:ascii="Calibri" w:hAnsi="Calibri"/>
          <w:b/>
          <w:color w:val="11183A"/>
          <w:sz w:val="32"/>
        </w:rPr>
        <w:t>5.  The Fraud Intelligence Consortium (FIC)</w:t>
      </w:r>
    </w:p>
    <w:p>
      <w:pPr>
        <w:pBdr>
          <w:bottom w:val="single" w:sz="6" w:space="1" w:color="2F4B8F"/>
        </w:pBdr>
      </w:pPr>
    </w:p>
    <w:p>
      <w:r>
        <w:rPr>
          <w:i w:val="0"/>
          <w:sz w:val="22"/>
        </w:rPr>
        <w:t>Fraud is a network crime fought by isolated institutions. A mule account drains victims across ten banks; each bank sees only its own sliver. The criminals live in the gaps between institutions — which is precisely the function that must be made shared. The FIC is a co-owned, not-for-profit utility that does what no member can do alone:</w:t>
      </w:r>
    </w:p>
    <w:p>
      <w:pPr>
        <w:pStyle w:val="ListBullet"/>
      </w:pPr>
      <w:r>
        <w:rPr>
          <w:b/>
        </w:rPr>
        <w:t>Real-time mule / payee reputation graph —</w:t>
      </w:r>
      <w:r>
        <w:t xml:space="preserve"> every account carries a live risk score; a report at one bank reaches another bank’s confirm-screen in seconds.</w:t>
      </w:r>
    </w:p>
    <w:p>
      <w:pPr>
        <w:pStyle w:val="ListBullet"/>
      </w:pPr>
      <w:r>
        <w:rPr>
          <w:b/>
        </w:rPr>
        <w:t>Shared scam-typology library —</w:t>
      </w:r>
      <w:r>
        <w:t xml:space="preserve"> continuously updated patterns that power the named-threat warnings.</w:t>
      </w:r>
    </w:p>
    <w:p>
      <w:pPr>
        <w:pStyle w:val="ListBullet"/>
      </w:pPr>
      <w:r>
        <w:rPr>
          <w:b/>
        </w:rPr>
        <w:t>Cross-institution layering detection —</w:t>
      </w:r>
      <w:r>
        <w:t xml:space="preserve"> follows funds as they are split and hopped across banks — structurally invisible to any single institution.</w:t>
      </w:r>
    </w:p>
    <w:p>
      <w:pPr>
        <w:pStyle w:val="ListBullet"/>
      </w:pPr>
      <w:r>
        <w:rPr>
          <w:b/>
        </w:rPr>
        <w:t>Federated machine learning —</w:t>
      </w:r>
      <w:r>
        <w:t xml:space="preserve"> banks contribute model signal without sharing raw customer data — the unlock for cooperation: privacy-safe and competition-safe.</w:t>
      </w:r>
    </w:p>
    <w:p>
      <w:pPr>
        <w:pStyle w:val="ListBullet"/>
      </w:pPr>
      <w:r>
        <w:rPr>
          <w:b/>
        </w:rPr>
        <w:t>Risk-score API —</w:t>
      </w:r>
      <w:r>
        <w:t xml:space="preserve"> returns a score at the instant of authorisation; the engine of the Aware Layer.</w:t>
      </w:r>
    </w:p>
    <w:p>
      <w:pPr>
        <w:pStyle w:val="ListBullet"/>
      </w:pPr>
      <w:r>
        <w:rPr>
          <w:b/>
        </w:rPr>
        <w:t>Golden-hour freeze coordination —</w:t>
      </w:r>
      <w:r>
        <w:t xml:space="preserve"> instant cross-bank freeze and recovery of mule funds, solving today’s fatal inter-bank lag.</w:t>
      </w:r>
    </w:p>
    <w:p>
      <w:pPr>
        <w:pStyle w:val="ListBullet"/>
      </w:pPr>
      <w:r>
        <w:rPr>
          <w:b/>
        </w:rPr>
        <w:t>National integration —</w:t>
      </w:r>
      <w:r>
        <w:t xml:space="preserve"> wired to the national cybercrime backbone (1930 / NCRP) for enforcement.</w:t>
      </w:r>
    </w:p>
    <w:p>
      <w:pPr>
        <w:spacing w:before="160" w:after="40"/>
      </w:pPr>
      <w:r>
        <w:rPr>
          <w:b/>
          <w:color w:val="2F4B8F"/>
          <w:sz w:val="24"/>
        </w:rPr>
        <w:t>The incentive backbone</w:t>
      </w:r>
    </w:p>
    <w:p>
      <w:r>
        <w:rPr>
          <w:i w:val="0"/>
          <w:sz w:val="22"/>
        </w:rPr>
        <w:t>Borrow the UK design: make the receiving (mule-hosting) bank share liability for APP losses. The moment a bank pays for hosting a mule, contributing to the FIC stops being charity and becomes self-interest. The rule: a member that takes intelligence must give intelligence. That single economic design makes the consortium self-sustaining rather than a perpetually under-funded "industry good."</w:t>
      </w:r>
    </w:p>
    <w:p>
      <w:pPr>
        <w:spacing w:before="280" w:after="80"/>
      </w:pPr>
      <w:r>
        <w:rPr>
          <w:rFonts w:ascii="Calibri" w:hAnsi="Calibri"/>
          <w:b/>
          <w:color w:val="11183A"/>
          <w:sz w:val="32"/>
        </w:rPr>
        <w:t>6.  Pillar 1: the Direct Settlement Consortium</w:t>
      </w:r>
    </w:p>
    <w:p>
      <w:pPr>
        <w:pBdr>
          <w:bottom w:val="single" w:sz="6" w:space="1" w:color="2F4B8F"/>
        </w:pBdr>
      </w:pPr>
    </w:p>
    <w:p>
      <w:r>
        <w:rPr>
          <w:i w:val="0"/>
          <w:sz w:val="22"/>
        </w:rPr>
        <w:t>Merchants hold a direct relationship with a consortium bank. Funds move bank-to-bank, netted over a thin switch that passes messages and computes who owes whom — but never custodies funds. That single design choice removes the entire RBI payment-aggregator escrow regime (the net-worth thresholds, dedicated escrow accounts and migration burden). Only identity (CKYC) stays central, amortised to near-zero per transaction.</w:t>
      </w:r>
    </w:p>
    <w:p>
      <w:pPr>
        <w:spacing w:before="160" w:after="40"/>
      </w:pPr>
      <w:r>
        <w:rPr>
          <w:b/>
          <w:color w:val="2F4B8F"/>
          <w:sz w:val="24"/>
        </w:rPr>
        <w:t>What stays central vs. what distributes</w:t>
      </w:r>
    </w:p>
    <w:p>
      <w:pPr>
        <w:pStyle w:val="ListBullet"/>
      </w:pPr>
      <w:r>
        <w:rPr>
          <w:b/>
        </w:rPr>
        <w:t>Central (thin, neutral, co-owned) —</w:t>
      </w:r>
      <w:r>
        <w:t xml:space="preserve"> CKYC / identity (one-time, per customer) and a thin, federated switch + net-settlement engine that never holds money.</w:t>
      </w:r>
    </w:p>
    <w:p>
      <w:pPr>
        <w:pStyle w:val="ListBullet"/>
      </w:pPr>
      <w:r>
        <w:rPr>
          <w:b/>
        </w:rPr>
        <w:t>Distributed to banks (the "pieces") —</w:t>
      </w:r>
      <w:r>
        <w:t xml:space="preserve"> merchant onboarding and acquiring; fraud scoring on a bank’s own customers; direct inter-bank settlement.</w:t>
      </w:r>
    </w:p>
    <w:p>
      <w:pPr>
        <w:spacing w:before="280" w:after="80"/>
      </w:pPr>
      <w:r>
        <w:rPr>
          <w:rFonts w:ascii="Calibri" w:hAnsi="Calibri"/>
          <w:b/>
          <w:color w:val="11183A"/>
          <w:sz w:val="32"/>
        </w:rPr>
        <w:t>7.  How the two pillars fit</w:t>
      </w:r>
    </w:p>
    <w:p>
      <w:pPr>
        <w:pBdr>
          <w:bottom w:val="single" w:sz="6" w:space="1" w:color="2F4B8F"/>
        </w:pBdr>
      </w:pPr>
    </w:p>
    <w:p>
      <w:r>
        <w:rPr>
          <w:i w:val="0"/>
          <w:sz w:val="22"/>
        </w:rPr>
        <w:t>Pillar 1 removes the rent. Pillar 2 removes the fear. The only serious objection to disintermediating PAs was "cheaper, but who handles fraud and disputes?" Pillar 2 is the answer — and it handles fraud better than the layer it replaces, because it operates at network scale a single PA never could. The Aware Layer sits on top of both: the FIC supplies the risk score, the DSC moves the money, and the screen turns that intelligence into a warning the user sees at the only moment that matters.</w:t>
      </w:r>
    </w:p>
    <w:p>
      <w:pPr>
        <w:spacing w:before="280" w:after="80"/>
      </w:pPr>
      <w:r>
        <w:rPr>
          <w:rFonts w:ascii="Calibri" w:hAnsi="Calibri"/>
          <w:b/>
          <w:color w:val="11183A"/>
          <w:sz w:val="32"/>
        </w:rPr>
        <w:t>8.  Economics: who gains</w:t>
      </w:r>
    </w:p>
    <w:p>
      <w:pPr>
        <w:pBdr>
          <w:bottom w:val="single" w:sz="6" w:space="1" w:color="2F4B8F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18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2880"/>
            <w:shd w:val="clear" w:fill="1118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they gain</w:t>
            </w:r>
          </w:p>
        </w:tc>
        <w:tc>
          <w:tcPr>
            <w:tcW w:type="dxa" w:w="2880"/>
            <w:shd w:val="clear" w:fill="1118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they give 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2F4B8F"/>
                <w:sz w:val="18"/>
              </w:rPr>
              <w:t>Small / mid merchants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Flat near-zero cost instead of a percentage fee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2F4B8F"/>
                <w:sz w:val="18"/>
              </w:rPr>
              <w:t>Banks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Acquiring + value-added revenue PAs take today; a small regulated flat fee on the rail; lower fraud losses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The comfort of blaming an intermediary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2F4B8F"/>
                <w:sz w:val="18"/>
              </w:rPr>
              <w:t>Government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Lower UPI subsidy bill; citizen protection as political capital; payments sovereignty; forex retention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2F4B8F"/>
                <w:sz w:val="18"/>
              </w:rPr>
              <w:t>Consumers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Lower prices (indirect); dramatically lower scam risk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2F4B8F"/>
                <w:sz w:val="18"/>
              </w:rPr>
              <w:t>Fintechs / PAs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Repositioned, not killed — builders of the Aware Layer, the FIC’s ML, merchant SaaS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Toll-booth margins</w:t>
            </w:r>
          </w:p>
        </w:tc>
      </w:tr>
    </w:tbl>
    <w:p>
      <w:r>
        <w:rPr>
          <w:i w:val="0"/>
          <w:sz w:val="22"/>
        </w:rPr>
      </w:r>
    </w:p>
    <w:p>
      <w:pPr>
        <w:spacing w:before="160" w:after="40"/>
      </w:pPr>
      <w:r>
        <w:rPr>
          <w:b/>
          <w:color w:val="2F4B8F"/>
          <w:sz w:val="24"/>
        </w:rPr>
        <w:t>The keystone</w:t>
      </w:r>
    </w:p>
    <w:p>
      <w:r>
        <w:rPr>
          <w:i w:val="0"/>
          <w:sz w:val="22"/>
        </w:rPr>
        <w:t>The rail must charge a small, flat, regulated fee — not zero. Zero-MDR is precisely why banks lobby to reverse it; a flat sub-rupee fee keeps the rail self-funding without reintroducing percentage rent. This is the one number the model lives or dies on.</w:t>
      </w:r>
    </w:p>
    <w:p>
      <w:pPr>
        <w:spacing w:before="280" w:after="80"/>
      </w:pPr>
      <w:r>
        <w:rPr>
          <w:rFonts w:ascii="Calibri" w:hAnsi="Calibri"/>
          <w:b/>
          <w:color w:val="11183A"/>
          <w:sz w:val="32"/>
        </w:rPr>
        <w:t>9.  The pitch to government</w:t>
      </w:r>
    </w:p>
    <w:p>
      <w:pPr>
        <w:pBdr>
          <w:bottom w:val="single" w:sz="6" w:space="1" w:color="2F4B8F"/>
        </w:pBdr>
      </w:pPr>
    </w:p>
    <w:p>
      <w:r>
        <w:rPr>
          <w:i w:val="0"/>
          <w:sz w:val="22"/>
        </w:rPr>
        <w:t>Framed as three sovereign wins:</w:t>
      </w:r>
    </w:p>
    <w:p>
      <w:pPr>
        <w:pStyle w:val="ListBullet"/>
      </w:pPr>
      <w:r>
        <w:rPr>
          <w:b/>
        </w:rPr>
        <w:t>Fiscal —</w:t>
      </w:r>
      <w:r>
        <w:t xml:space="preserve"> the State already spends roughly ₹1,500–2,000 crore a year subsidising UPI to stay free. A lower-cost, co-owned rail shrinks that bill.</w:t>
      </w:r>
    </w:p>
    <w:p>
      <w:pPr>
        <w:pStyle w:val="ListBullet"/>
      </w:pPr>
      <w:r>
        <w:rPr>
          <w:b/>
        </w:rPr>
        <w:t>Citizen protection —</w:t>
      </w:r>
      <w:r>
        <w:t xml:space="preserve"> APP fraud is the fastest-growing financial crime and a visible public grievance. A consortium that demonstrably drives scam losses toward zero is rare, tangible political capital — protection citizens feel.</w:t>
      </w:r>
    </w:p>
    <w:p>
      <w:pPr>
        <w:pStyle w:val="ListBullet"/>
      </w:pPr>
      <w:r>
        <w:rPr>
          <w:b/>
        </w:rPr>
        <w:t>Strategic autonomy —</w:t>
      </w:r>
      <w:r>
        <w:t xml:space="preserve"> scheme fees leave the country and mule networks exploit institutional gaps. Both are fixed by infrastructure India owns and governs, extending the NPCI / UPI / CERSAI model the world already admires.</w:t>
      </w:r>
    </w:p>
    <w:p>
      <w:r>
        <w:rPr>
          <w:i/>
          <w:sz w:val="22"/>
        </w:rPr>
        <w:t>The clincher: India built the hardest 80%. Bharat Direct finishes it — removing the last private toll-booth and closing the one gap UPI left open: the human at the moment of payment.</w:t>
      </w:r>
    </w:p>
    <w:p>
      <w:pPr>
        <w:spacing w:before="280" w:after="80"/>
      </w:pPr>
      <w:r>
        <w:rPr>
          <w:rFonts w:ascii="Calibri" w:hAnsi="Calibri"/>
          <w:b/>
          <w:color w:val="11183A"/>
          <w:sz w:val="32"/>
        </w:rPr>
        <w:t>10.  Honest risks and mitigations</w:t>
      </w:r>
    </w:p>
    <w:p>
      <w:pPr>
        <w:pBdr>
          <w:bottom w:val="single" w:sz="6" w:space="1" w:color="2F4B8F"/>
        </w:pBdr>
      </w:pPr>
    </w:p>
    <w:p>
      <w:pPr>
        <w:pStyle w:val="ListBullet"/>
      </w:pPr>
      <w:r>
        <w:rPr>
          <w:b/>
        </w:rPr>
        <w:t>Concentration —</w:t>
      </w:r>
      <w:r>
        <w:t xml:space="preserve"> a shared switch and FIC are systemic targets → mandate a federated, multi-operator design, not a monolith.</w:t>
      </w:r>
    </w:p>
    <w:p>
      <w:pPr>
        <w:pStyle w:val="ListBullet"/>
      </w:pPr>
      <w:r>
        <w:rPr>
          <w:b/>
        </w:rPr>
        <w:t>Antitrust / fair access —</w:t>
      </w:r>
      <w:r>
        <w:t xml:space="preserve"> a bank consortium must not become a cartel → neutral not-for-profit governance and open membership (the NPCI precedent).</w:t>
      </w:r>
    </w:p>
    <w:p>
      <w:pPr>
        <w:pStyle w:val="ListBullet"/>
      </w:pPr>
      <w:r>
        <w:rPr>
          <w:b/>
        </w:rPr>
        <w:t>Privacy —</w:t>
      </w:r>
      <w:r>
        <w:t xml:space="preserve"> sharing fraud signal must not pool raw personal data → federated learning by architecture.</w:t>
      </w:r>
    </w:p>
    <w:p>
      <w:pPr>
        <w:pStyle w:val="ListBullet"/>
      </w:pPr>
      <w:r>
        <w:rPr>
          <w:b/>
        </w:rPr>
        <w:t>Transition cost —</w:t>
      </w:r>
      <w:r>
        <w:t xml:space="preserve"> the PA / fintech sector is jobs and tax → the repositioning narrative is essential, not cosmetic.</w:t>
      </w:r>
    </w:p>
    <w:p>
      <w:pPr>
        <w:pStyle w:val="ListBullet"/>
      </w:pPr>
      <w:r>
        <w:rPr>
          <w:b/>
        </w:rPr>
        <w:t>Residual APP fraud —</w:t>
      </w:r>
      <w:r>
        <w:t xml:space="preserve"> even excellent interventions will not hit literal zero → set the target at "near-zero / world-best," backed by reimbursement so the victim is made whole regardless.</w:t>
      </w:r>
    </w:p>
    <w:p>
      <w:pPr>
        <w:spacing w:before="280" w:after="80"/>
      </w:pPr>
      <w:r>
        <w:rPr>
          <w:rFonts w:ascii="Calibri" w:hAnsi="Calibri"/>
          <w:b/>
          <w:color w:val="11183A"/>
          <w:sz w:val="32"/>
        </w:rPr>
        <w:t>11.  Call to action: a pre-competitive working group</w:t>
      </w:r>
    </w:p>
    <w:p>
      <w:pPr>
        <w:pBdr>
          <w:bottom w:val="single" w:sz="6" w:space="1" w:color="2F4B8F"/>
        </w:pBdr>
      </w:pPr>
    </w:p>
    <w:p>
      <w:r>
        <w:rPr>
          <w:i w:val="0"/>
          <w:sz w:val="22"/>
        </w:rPr>
        <w:t>This is bigger than any one company — the way UPI itself began. The proposal is a pre-competitive working group:</w:t>
      </w:r>
    </w:p>
    <w:p>
      <w:pPr>
        <w:pStyle w:val="ListBullet"/>
      </w:pPr>
      <w:r>
        <w:rPr>
          <w:b/>
        </w:rPr>
        <w:t>Regulators / State —</w:t>
      </w:r>
      <w:r>
        <w:t xml:space="preserve"> RBI (Department of Payment &amp; Settlement Systems), MeitY, the Indian Cyber Crime Coordination Centre (1930), and the Department of Financial Services.</w:t>
      </w:r>
    </w:p>
    <w:p>
      <w:pPr>
        <w:pStyle w:val="ListBullet"/>
      </w:pPr>
      <w:r>
        <w:rPr>
          <w:b/>
        </w:rPr>
        <w:t>Rails —</w:t>
      </w:r>
      <w:r>
        <w:t xml:space="preserve"> NPCI and CERSAI.</w:t>
      </w:r>
    </w:p>
    <w:p>
      <w:pPr>
        <w:pStyle w:val="ListBullet"/>
      </w:pPr>
      <w:r>
        <w:rPr>
          <w:b/>
        </w:rPr>
        <w:t>Banks —</w:t>
      </w:r>
      <w:r>
        <w:t xml:space="preserve"> four to six anchor public and private banks as the consortium’s founding owners.</w:t>
      </w:r>
    </w:p>
    <w:p>
      <w:pPr>
        <w:pStyle w:val="ListBullet"/>
      </w:pPr>
      <w:r>
        <w:rPr>
          <w:b/>
        </w:rPr>
        <w:t>Industry —</w:t>
      </w:r>
      <w:r>
        <w:t xml:space="preserve"> the Payments Council of India and selected fintechs invited as builders of the Aware Layer and the FIC’s ML — converting potential opponents into partners.</w:t>
      </w:r>
    </w:p>
    <w:p>
      <w:pPr>
        <w:pStyle w:val="ListBullet"/>
      </w:pPr>
      <w:r>
        <w:rPr>
          <w:b/>
        </w:rPr>
        <w:t>Academia —</w:t>
      </w:r>
      <w:r>
        <w:t xml:space="preserve"> behavioural-science and security researchers to design and measure the interventions.</w:t>
      </w:r>
    </w:p>
    <w:p>
      <w:r>
        <w:rPr>
          <w:i w:val="0"/>
          <w:sz w:val="22"/>
        </w:rPr>
        <w:t>First deliverable: this paper plus a live pilot of the Aware Layer and a minimal FIC mule-graph on existing UPI rails — proving the fraud-reduction number before touching the settlement architecture. Lead with the fraud win; it is the easiest entry, and it earns the right to discuss disintermediation.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11183A"/>
          <w:sz w:val="30"/>
        </w:rPr>
        <w:t>Appendix A — Sourced figures</w:t>
      </w:r>
    </w:p>
    <w:p>
      <w:pPr>
        <w:pBdr>
          <w:bottom w:val="single" w:sz="6" w:space="1" w:color="2F4B8F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118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Figure</w:t>
            </w:r>
          </w:p>
        </w:tc>
        <w:tc>
          <w:tcPr>
            <w:tcW w:type="dxa" w:w="2880"/>
            <w:shd w:val="clear" w:fill="1118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val="clear" w:fill="11183A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Source tier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MDR on UPI &amp; RuPay debit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Zero since 1 Jan 2020 (statutory)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Primary — law (PSS Act s.10A; IT Act s.269SU)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Govt UPI incentive FY2024–25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₹1,500 cr at 0.15%/txn, P2M ≤₹2,000, small merchants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Primary — Cabinet (PIB)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Govt incentive, Budget 2026–27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₹2,000 cr (industry ask ~₹10,000 cr)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Primary allocation / secondary ask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UPI scale, Jan 2026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21.70 bn txns / ₹28.33 lakh cr in one month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Primary — NPCI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Bank revenue forgone, zero-MDR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~₹5,500 cr/yr; govt offsets ~₹1,500–2,500 cr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Secondary — industry estimate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PCI proposal (Mar 2025)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Reintroduce 0.3% MDR on UPI P2M &gt; ₹2,000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Primary — industry body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CKYC uploads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Free (Budget 2025); downloads sub-rupee, one-time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Primary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PA escrow + net worth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₹15 cr → ₹25 cr; dedicated escrow; eff. 15 Sep 2025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sz w:val="18"/>
              </w:rPr>
              <w:t>Primary — RBI Master Direction</w:t>
            </w:r>
          </w:p>
        </w:tc>
      </w:tr>
    </w:tbl>
    <w:p>
      <w:r>
        <w:rPr>
          <w:i w:val="0"/>
          <w:sz w:val="22"/>
        </w:rPr>
      </w:r>
    </w:p>
    <w:p>
      <w:r>
        <w:rPr>
          <w:i/>
          <w:sz w:val="18"/>
        </w:rPr>
        <w:t>Note: the authoritative primary source for per-transaction cost components is the RBI Discussion Paper on Charges in Payment Systems (August 2022). For any figure marked "secondary," pin to primary RBI / NPCI data before external circulation.</w:t>
      </w:r>
    </w:p>
    <w:p>
      <w:pPr>
        <w:spacing w:before="240" w:after="80"/>
      </w:pPr>
      <w:r>
        <w:rPr>
          <w:rFonts w:ascii="Calibri" w:hAnsi="Calibri"/>
          <w:b/>
          <w:color w:val="11183A"/>
          <w:sz w:val="28"/>
        </w:rPr>
        <w:t>Appendix B — International precedents</w:t>
      </w:r>
    </w:p>
    <w:p>
      <w:pPr>
        <w:pBdr>
          <w:bottom w:val="single" w:sz="6" w:space="1" w:color="2F4B8F"/>
        </w:pBdr>
      </w:pPr>
    </w:p>
    <w:p>
      <w:pPr>
        <w:pStyle w:val="ListBullet"/>
      </w:pPr>
      <w:r>
        <w:rPr>
          <w:b/>
        </w:rPr>
        <w:t>United Kingdom —</w:t>
      </w:r>
      <w:r>
        <w:t xml:space="preserve"> Confirmation of Payee (name-checking); Payment Systems Regulator mandatory APP reimbursement, 2024 (50/50 sending/receiving bank liability).</w:t>
      </w:r>
    </w:p>
    <w:p>
      <w:pPr>
        <w:pStyle w:val="ListBullet"/>
      </w:pPr>
      <w:r>
        <w:rPr>
          <w:b/>
        </w:rPr>
        <w:t>Singapore —</w:t>
      </w:r>
      <w:r>
        <w:t xml:space="preserve"> Money Lock; Shared Responsibility Framework for scam losses.</w:t>
      </w:r>
    </w:p>
    <w:p>
      <w:pPr>
        <w:pStyle w:val="ListBullet"/>
      </w:pPr>
      <w:r>
        <w:rPr>
          <w:b/>
        </w:rPr>
        <w:t>Australia —</w:t>
      </w:r>
      <w:r>
        <w:t xml:space="preserve"> Scam-Safe Accord; mandatory Confirmation of Payee rollout.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