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80"/>
        <w:gridCol w:w="7086"/>
      </w:tblGrid>
      <w:tr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color="auto" w:val="clear"/>
            <w:tcMar>
              <w:top w:type="dxa" w:w="240"/>
              <w:left w:type="dxa" w:w="200"/>
              <w:bottom w:type="dxa" w:w="240"/>
              <w:right w:type="dxa" w:w="1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DHIR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SAXENA</w:t>
            </w:r>
          </w:p>
          <w:p>
            <w:pPr>
              <w:spacing w:after="160" w:before="40"/>
            </w:pPr>
            <w:r>
              <w:rPr>
                <w:i/>
                <w:iCs/>
                <w:color w:val="DBE5FF"/>
                <w:sz w:val="22"/>
                <w:szCs w:val="22"/>
              </w:rPr>
              <w:t xml:space="preserve">Lead AI Architect</w:t>
            </w:r>
          </w:p>
          <w:p>
            <w:pPr>
              <w:pBdr>
                <w:bottom w:val="single" w:color="7AA0F5" w:sz="4" w:space="2"/>
              </w:pBdr>
              <w:spacing w:after="70" w:before="2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  <w:p>
            <w:p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dhirsaxena@gmail.com</w:t>
            </w:r>
          </w:p>
          <w:p>
            <w:p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07950 741519</w:t>
            </w:r>
          </w:p>
          <w:p>
            <w:p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Croydon, London</w:t>
            </w:r>
          </w:p>
          <w:p>
            <w:pPr>
              <w:pBdr>
                <w:bottom w:val="single" w:color="7AA0F5" w:sz="4" w:space="2"/>
              </w:pBdr>
              <w:spacing w:after="70" w:before="2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CORE EXPERTISE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Enterprise AI architecture &amp; design authority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AI operating-model &amp; CoE design (AI factory)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AI principles, standards &amp; governance wrappers — global IT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AI taxonomy &amp; framework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Gated governance via Architecture Review Boards (ARB) + 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Reference architectures: RAG &amp; Agentic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Technology &amp; model selection</w:t>
            </w:r>
          </w:p>
          <w:p>
            <w:pPr>
              <w:pBdr>
                <w:bottom w:val="single" w:color="7AA0F5" w:sz="4" w:space="2"/>
              </w:pBdr>
              <w:spacing w:after="70" w:before="2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FRAMEWORKS &amp; STANDARDS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EU AI 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NIST AI RMF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ISO/IEC 42001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AWS Well-Architected Generative AI Lens </w:t>
            </w:r>
            <w:r>
              <w:rPr>
                <w:color w:val="CDD9FF"/>
                <w:sz w:val="17"/>
                <w:szCs w:val="17"/>
              </w:rPr>
              <w:t xml:space="preserve">(2026)</w:t>
            </w:r>
          </w:p>
          <w:p>
            <w:pPr>
              <w:pBdr>
                <w:bottom w:val="single" w:color="7AA0F5" w:sz="4" w:space="2"/>
              </w:pBdr>
              <w:spacing w:after="70" w:before="2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Agentic AI workflows (LangGraph)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RAG pipelines, vector retrieval &amp; grounding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MLOps, observability &amp; production AI governance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CI-gated, enforceable standards</w:t>
            </w:r>
          </w:p>
          <w:p>
            <w:pPr>
              <w:pBdr>
                <w:bottom w:val="single" w:color="7AA0F5" w:sz="4" w:space="2"/>
              </w:pBdr>
              <w:spacing w:after="70" w:before="2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CLOUD &amp;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AWS (15+ years)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Databricks (5+ yrs)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Enterprise data platforms — medallion (data heritage)</w:t>
            </w:r>
          </w:p>
          <w:p>
            <w:pPr>
              <w:pBdr>
                <w:bottom w:val="single" w:color="7AA0F5" w:sz="4" w:space="2"/>
              </w:pBdr>
              <w:spacing w:after="70" w:before="2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INDUSTRIES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Insurance (Property / Life)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Multi-channel Retail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FMCG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Automotive</w:t>
            </w:r>
          </w:p>
          <w:p>
            <w:pPr>
              <w:pBdr>
                <w:bottom w:val="single" w:color="7AA0F5" w:sz="4" w:space="2"/>
              </w:pBdr>
              <w:spacing w:after="70" w:before="2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Nationality: British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Availability: within 2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EAF0FF"/>
                <w:sz w:val="17"/>
                <w:szCs w:val="17"/>
              </w:rPr>
              <w:t xml:space="preserve">Location: London (willing to commute)</w:t>
            </w:r>
          </w:p>
        </w:tc>
        <w:tc>
          <w:tcPr>
            <w:tcW w:type="dxa" w:w="70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40"/>
              <w:bottom w:type="dxa" w:w="2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Lead AI Architect </w:t>
            </w:r>
            <w:r>
              <w:rPr>
                <w:color w:val="374151"/>
                <w:sz w:val="19"/>
                <w:szCs w:val="19"/>
              </w:rPr>
              <w:t xml:space="preserve">with 24+ years in enterprise technology and the last six focused on AI. Owns enterprise </w:t>
            </w:r>
            <w:r>
              <w:rPr>
                <w:b/>
                <w:bCs/>
                <w:color w:val="1F2937"/>
                <w:sz w:val="19"/>
                <w:szCs w:val="19"/>
              </w:rPr>
              <w:t xml:space="preserve">AI principles, standards and governance wrappers</w:t>
            </w:r>
            <w:r>
              <w:rPr>
                <w:color w:val="374151"/>
                <w:sz w:val="19"/>
                <w:szCs w:val="19"/>
              </w:rPr>
              <w:t xml:space="preserve"> at global IT level; designs </w:t>
            </w:r>
            <w:r>
              <w:rPr>
                <w:b/>
                <w:bCs/>
                <w:color w:val="1F2937"/>
                <w:sz w:val="19"/>
                <w:szCs w:val="19"/>
              </w:rPr>
              <w:t xml:space="preserve">AI operating models</w:t>
            </w:r>
            <w:r>
              <w:rPr>
                <w:color w:val="374151"/>
                <w:sz w:val="19"/>
                <w:szCs w:val="19"/>
              </w:rPr>
              <w:t xml:space="preserve"> (AI factory / CoE); and develops </w:t>
            </w:r>
            <w:r>
              <w:rPr>
                <w:b/>
                <w:bCs/>
                <w:color w:val="1F2937"/>
                <w:sz w:val="19"/>
                <w:szCs w:val="19"/>
              </w:rPr>
              <w:t xml:space="preserve">AI taxonomies aligned to the EU AI Act, NIST AI RMF and ISO/IEC 42001</w:t>
            </w:r>
            <w:r>
              <w:rPr>
                <w:color w:val="374151"/>
                <w:sz w:val="19"/>
                <w:szCs w:val="19"/>
              </w:rPr>
              <w:t xml:space="preserve">, implemented against the </w:t>
            </w:r>
            <w:r>
              <w:rPr>
                <w:b/>
                <w:bCs/>
                <w:color w:val="1F2937"/>
                <w:sz w:val="19"/>
                <w:szCs w:val="19"/>
              </w:rPr>
              <w:t xml:space="preserve">AWS Well-Architected Generative AI Lens</w:t>
            </w:r>
            <w:r>
              <w:rPr>
                <w:color w:val="374151"/>
                <w:sz w:val="19"/>
                <w:szCs w:val="19"/>
              </w:rPr>
              <w:t xml:space="preserve">. Delivery leadership for JLR, Waitrose and Phoenix Life.</w:t>
            </w:r>
          </w:p>
          <w:p>
            <w:pPr>
              <w:spacing w:after="120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Independent Consulting Architect since January 2018 · operating through Datawhistl.com</w:t>
            </w:r>
          </w:p>
          <w:p>
            <w:pPr>
              <w:spacing w:after="10" w:before="200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Lead Architect — AI · Tata Consultancy Services, London</w:t>
            </w:r>
          </w:p>
          <w:p>
            <w:pPr>
              <w:spacing w:after="60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Oct 2023 – Present</w:t>
            </w:r>
          </w:p>
          <w:p>
            <w:pPr>
              <w:spacing w:after="30" w:before="120"/>
            </w:pPr>
            <w:r>
              <w:rPr>
                <w:b/>
                <w:bCs/>
                <w:color w:val="1E3A8A"/>
                <w:sz w:val="18"/>
                <w:szCs w:val="18"/>
              </w:rPr>
              <w:t xml:space="preserve">AI OPERATING MODEL &amp; STANDARDS OWNERSHIP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Designed enterprise AI operating models (AI factory / CoE): </w:t>
            </w:r>
            <w:r>
              <w:rPr>
                <w:color w:val="374151"/>
                <w:sz w:val="19"/>
                <w:szCs w:val="19"/>
              </w:rPr>
              <w:t xml:space="preserve">the pillar structure — architecture, engineering, product, governance — build-vs-run separation, pod delivery, and the ARB as an independent authority outside the AI function.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Authored and owns a catalogue of enterprise AI principles, standards and governance wrappers </w:t>
            </w:r>
            <w:r>
              <w:rPr>
                <w:color w:val="374151"/>
                <w:sz w:val="19"/>
                <w:szCs w:val="19"/>
              </w:rPr>
              <w:t xml:space="preserve">at global IT level — enforced through Architecture Review Boards and CI/CD gates, so production-readiness is the default rather than dependent on individual architects.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Developed the enterprise AI standards taxonomy </w:t>
            </w:r>
            <w:r>
              <w:rPr>
                <w:color w:val="374151"/>
                <w:sz w:val="19"/>
                <w:szCs w:val="19"/>
              </w:rPr>
              <w:t xml:space="preserve">aligned to the EU AI Act, NIST AI RMF and ISO/IEC 42001 (2024–2025) — risk tiering, control families, and the evidence model an ARB needs to certify consistently.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Anchored the catalogue to the AWS Well-Architected Generative AI Lens </w:t>
            </w:r>
            <w:r>
              <w:rPr>
                <w:color w:val="374151"/>
                <w:sz w:val="19"/>
                <w:szCs w:val="19"/>
              </w:rPr>
              <w:t xml:space="preserve">since early 2026 as the buildable implementation source — mapping each best-practice step to an enforceable standard and reference implementation, following the Lens's late-2025 release.</w:t>
            </w:r>
          </w:p>
          <w:p>
            <w:pPr>
              <w:spacing w:after="30" w:before="120"/>
            </w:pPr>
            <w:r>
              <w:rPr>
                <w:b/>
                <w:bCs/>
                <w:color w:val="1E3A8A"/>
                <w:sz w:val="18"/>
                <w:szCs w:val="18"/>
              </w:rPr>
              <w:t xml:space="preserve">LEADERSHIP, PRE-SALES &amp; PRACTICE DEVELOPMENT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C-suite discovery facilitation: </w:t>
            </w:r>
            <w:r>
              <w:rPr>
                <w:color w:val="374151"/>
                <w:sz w:val="19"/>
                <w:szCs w:val="19"/>
              </w:rPr>
              <w:t xml:space="preserve">led AI use-case discovery directly with Director-level stakeholders — focused on RAG and Agentic AI across customer-experience and marketing domains.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Trusted pre-sales solutioning partner: </w:t>
            </w:r>
            <w:r>
              <w:rPr>
                <w:color w:val="374151"/>
                <w:sz w:val="19"/>
                <w:szCs w:val="19"/>
              </w:rPr>
              <w:t xml:space="preserve">engaged at bid stage across Data &amp; AI opportunities — translating client briefs into target-state architectures and contributing to winning proposals for Waitrose, Phoenix Life and JLR.</w:t>
            </w:r>
          </w:p>
          <w:p>
            <w:pPr>
              <w:spacing w:after="20" w:before="11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Phoenix Life — Agentic AI for Annual Policy Statements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Designed the AI governance architecture for an agentic workflow processing 5M policyholder records under strict FCA constraints — agent topology, tracing and guardrails shaped by discovery with the CDO, Head of Compliance and Chief Actuary.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Delivered the governance framework: implementation-verification hooks, prompt-version governance, checkpointing, shadow-testing, and a full workflow execution audit trail.</w:t>
            </w:r>
          </w:p>
          <w:p>
            <w:pPr>
              <w:spacing w:after="20" w:before="11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Phoenix Life — RAG Architecture for Internal Policy Portal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Designed enterprise RAG architecture for live policyholder query resolution across policy data, product documentation, GAR rate tables and the FCA regulatory corpus — defining retrieval quality, grounding controls, PII governance and compliance standards with Phoenix Life leadership.</w:t>
            </w:r>
          </w:p>
          <w:p>
            <w:pPr>
              <w:spacing w:after="20" w:before="11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JLR — ML Platform &amp; MLOps Governance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Defined enterprise MLOps architecture — automated deployment, shadow-promotion, feature- and model-drift detection, and rollback governance across development, shadow and production with SLA-based recovery controls.</w:t>
            </w:r>
          </w:p>
          <w:p>
            <w:pPr>
              <w:spacing w:after="10" w:before="200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Lead Architect — AI &amp; Data · Essity, Gothenburg, Sweden</w:t>
            </w:r>
          </w:p>
          <w:p>
            <w:pPr>
              <w:spacing w:after="60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Jan 2021 – Sep 2023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Led AI and data architecture embedded in Essity's global data function </w:t>
            </w:r>
            <w:r>
              <w:rPr>
                <w:color w:val="374151"/>
                <w:sz w:val="19"/>
                <w:szCs w:val="19"/>
              </w:rPr>
              <w:t xml:space="preserve">— CDO-level discovery, enterprise governance definition, and multi-country delivery across customer and marketing platforms.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Directed delivery of an enterprise RAG product-search platform and a Voice-of-Customer analytics capability </w:t>
            </w:r>
            <w:r>
              <w:rPr>
                <w:color w:val="374151"/>
                <w:sz w:val="19"/>
                <w:szCs w:val="19"/>
              </w:rPr>
              <w:t xml:space="preserve">— owning technical architecture, delivery governance and cross-workstream coordination.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Defined enterprise data standards, GDPR controls and consent governance with VP Digital, Regional Data Leads and the Chief Privacy Officer — the operating-principle and governance foundations later carried into AI standards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Designed a canonical cross-market customer-feedback schema and GDPR-compliant architecture (consent propagation, retention, erasure; OneTrust-integrated pipelines) across seven Nordic markets.</w:t>
            </w:r>
          </w:p>
          <w:p>
            <w:pPr>
              <w:spacing w:after="10" w:before="200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Senior Data Architect · Tata Consultancy Services, London</w:t>
            </w:r>
          </w:p>
          <w:p>
            <w:pPr>
              <w:spacing w:after="60"/>
            </w:pPr>
            <w:r>
              <w:rPr>
                <w:i/>
                <w:iCs/>
                <w:color w:val="4B5563"/>
                <w:sz w:val="17"/>
                <w:szCs w:val="17"/>
              </w:rPr>
              <w:t xml:space="preserve">Jan 2018 – Nov 2020 · enterprise data foundations</w:t>
            </w:r>
          </w:p>
          <w:p>
            <w:pPr>
              <w:spacing w:after="20" w:before="11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JLR — Single View CRM, 10 European Markets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Architected a Data Vault 2.0 hub-satellite model on Redshift/Athena unifying customer, vehicle, sales and service data across 10 markets — establishing the canonical customer model with JLR's European Data Leads and CRM Programme Director.</w:t>
            </w:r>
          </w:p>
          <w:p>
            <w:pPr>
              <w:spacing w:after="20" w:before="11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Boots UK — GDPR Compliance Architecture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Lead technical voice in governance and legal discussions — translating regulatory obligations into enforceable architectural controls across six systems: PII discovery, lineage mapping, right-to-erasure cascade, and system-level anonymisation.</w:t>
            </w:r>
          </w:p>
          <w:p>
            <w:pPr>
              <w:pBdr>
                <w:top w:val="single" w:color="E5E7EB" w:sz="4" w:space="6"/>
              </w:pBdr>
              <w:spacing w:after="60" w:before="20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Earlier Career</w:t>
            </w:r>
          </w:p>
          <w:p>
            <w:pPr>
              <w:spacing w:after="60"/>
            </w:pPr>
            <w:r>
              <w:rPr>
                <w:b/>
                <w:bCs/>
                <w:color w:val="1E3A8A"/>
                <w:sz w:val="18"/>
                <w:szCs w:val="18"/>
              </w:rPr>
              <w:t xml:space="preserve">Co-founder &amp; Chief Architect · Syptus, London </w:t>
            </w:r>
            <w:r>
              <w:rPr>
                <w:i/>
                <w:iCs/>
                <w:color w:val="4B5563"/>
                <w:sz w:val="17"/>
                <w:szCs w:val="17"/>
              </w:rPr>
              <w:t xml:space="preserve">| Jun 2015 – Dec 2017</w:t>
            </w:r>
            <w:r>
              <w:rPr>
                <w:color w:val="374151"/>
                <w:sz w:val="18"/>
                <w:szCs w:val="18"/>
              </w:rPr>
              <w:t xml:space="preserve"> — Secured £750K pre-seed funding; architected and delivered the Project Falcon alpha platform; presented the technical roadmap to investor panels including Oxford Angel Fund.</w:t>
            </w:r>
          </w:p>
          <w:p>
            <w:pPr>
              <w:spacing w:after="60"/>
            </w:pPr>
            <w:r>
              <w:rPr>
                <w:b/>
                <w:bCs/>
                <w:color w:val="1E3A8A"/>
                <w:sz w:val="18"/>
                <w:szCs w:val="18"/>
              </w:rPr>
              <w:t xml:space="preserve">Adobe Technology Lead · IG Group, London </w:t>
            </w:r>
            <w:r>
              <w:rPr>
                <w:i/>
                <w:iCs/>
                <w:color w:val="4B5563"/>
                <w:sz w:val="17"/>
                <w:szCs w:val="17"/>
              </w:rPr>
              <w:t xml:space="preserve">| Jul 2011 – Jun 2015</w:t>
            </w:r>
            <w:r>
              <w:rPr>
                <w:color w:val="374151"/>
                <w:sz w:val="18"/>
                <w:szCs w:val="18"/>
              </w:rPr>
              <w:t xml:space="preserve"> — Led global Adobe Analytics &amp; Target implementations, multi-touch campaign architecture, and senior stakeholder management.</w:t>
            </w:r>
          </w:p>
          <w:p>
            <w:pPr>
              <w:spacing w:after="40"/>
            </w:pPr>
            <w:r>
              <w:rPr>
                <w:b/>
                <w:bCs/>
                <w:color w:val="1E3A8A"/>
                <w:sz w:val="18"/>
                <w:szCs w:val="18"/>
              </w:rPr>
              <w:t xml:space="preserve">Managing Consultant · IBM Interactive, London </w:t>
            </w:r>
            <w:r>
              <w:rPr>
                <w:i/>
                <w:iCs/>
                <w:color w:val="4B5563"/>
                <w:sz w:val="17"/>
                <w:szCs w:val="17"/>
              </w:rPr>
              <w:t xml:space="preserve">| Jun 2007 – Jun 2011</w:t>
            </w:r>
            <w:r>
              <w:rPr>
                <w:color w:val="374151"/>
                <w:sz w:val="18"/>
                <w:szCs w:val="18"/>
              </w:rPr>
              <w:t xml:space="preserve"> — Contributed to $15M+ revenue through Unica, NetInsight and Coremetrics consulting for Capital One, Deutsche Bank, Boots and Vodafone.</w:t>
            </w:r>
          </w:p>
        </w:tc>
      </w:tr>
    </w:tbl>
    <w:sectPr>
      <w:pgSz w:w="11906" w:h="16838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70"/>
      </w:pPr>
      <w:rPr>
        <w:color w:val="FFFFF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80"/>
      </w:pPr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2026-06-12T13:06:40.007Z</dcterms:created>
  <dcterms:modified xsi:type="dcterms:W3CDTF">2026-06-12T13:06:40.007Z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