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EXPLORATORY DATA ANALYSIS (EDA) – HEALTHCARE DATASET</w:t>
      </w:r>
    </w:p>
    <w:p>
      <w:r>
        <w:t>This report summarizes the analysis in the Week 6 EDA notebook. The dataset contains 55,500 patient records covering age, gender, medical condition, billing amount, admission type, insurance provider, medication and length of stay. Python, Pandas, Matplotlib and Seaborn were used for data exploration and visualization.</w:t>
      </w:r>
    </w:p>
    <w:p>
      <w:pPr>
        <w:pStyle w:val="Heading1"/>
      </w:pPr>
      <w:r>
        <w:t>1. Key Analysis and Findings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Pr>
          <w:p>
            <w:r>
              <w:rPr>
                <w:b/>
                <w:sz w:val="17"/>
              </w:rPr>
              <w:t>Analysis</w:t>
            </w:r>
          </w:p>
        </w:tc>
        <w:tc>
          <w:tcPr>
            <w:tcW w:type="dxa" w:w="3408"/>
            <w:vAlign w:val="center"/>
          </w:tcPr>
          <w:p>
            <w:r>
              <w:rPr>
                <w:b/>
                <w:sz w:val="17"/>
              </w:rPr>
              <w:t>Finding from Week 6 report/notebook</w:t>
            </w:r>
          </w:p>
        </w:tc>
        <w:tc>
          <w:tcPr>
            <w:tcW w:type="dxa" w:w="3408"/>
            <w:vAlign w:val="center"/>
          </w:tcPr>
          <w:p>
            <w:r>
              <w:rPr>
                <w:b/>
                <w:sz w:val="17"/>
              </w:rPr>
              <w:t>Insight</w:t>
            </w:r>
          </w:p>
        </w:tc>
      </w:tr>
      <w:tr>
        <w:tc>
          <w:tcPr>
            <w:tcW w:type="dxa" w:w="3408"/>
            <w:vAlign w:val="center"/>
          </w:tcPr>
          <w:p>
            <w:r>
              <w:rPr>
                <w:sz w:val="17"/>
              </w:rPr>
              <w:t>Age &amp; Medical Condition</w:t>
            </w:r>
          </w:p>
        </w:tc>
        <w:tc>
          <w:tcPr>
            <w:tcW w:type="dxa" w:w="3408"/>
            <w:vAlign w:val="center"/>
          </w:tcPr>
          <w:p>
            <w:r>
              <w:rPr>
                <w:sz w:val="17"/>
              </w:rPr>
              <w:t>A box plot compares patient age across medical conditions.</w:t>
            </w:r>
          </w:p>
        </w:tc>
        <w:tc>
          <w:tcPr>
            <w:tcW w:type="dxa" w:w="3408"/>
            <w:vAlign w:val="center"/>
          </w:tcPr>
          <w:p>
            <w:r>
              <w:rPr>
                <w:sz w:val="17"/>
              </w:rPr>
              <w:t>Helps inspect age distributions for the different conditions.</w:t>
            </w:r>
          </w:p>
        </w:tc>
      </w:tr>
      <w:tr>
        <w:tc>
          <w:tcPr>
            <w:tcW w:type="dxa" w:w="3408"/>
            <w:vAlign w:val="center"/>
          </w:tcPr>
          <w:p>
            <w:r>
              <w:rPr>
                <w:sz w:val="17"/>
              </w:rPr>
              <w:t>Gender &amp; Medical Condition</w:t>
            </w:r>
          </w:p>
        </w:tc>
        <w:tc>
          <w:tcPr>
            <w:tcW w:type="dxa" w:w="3408"/>
            <w:vAlign w:val="center"/>
          </w:tcPr>
          <w:p>
            <w:r>
              <w:rPr>
                <w:sz w:val="17"/>
              </w:rPr>
              <w:t>A grouped bar chart compares male and female patient counts across medical conditions.</w:t>
            </w:r>
          </w:p>
        </w:tc>
        <w:tc>
          <w:tcPr>
            <w:tcW w:type="dxa" w:w="3408"/>
            <w:vAlign w:val="center"/>
          </w:tcPr>
          <w:p>
            <w:r>
              <w:rPr>
                <w:sz w:val="17"/>
              </w:rPr>
              <w:t>Shows how patients are distributed by gender and condition.</w:t>
            </w:r>
          </w:p>
        </w:tc>
      </w:tr>
      <w:tr>
        <w:tc>
          <w:tcPr>
            <w:tcW w:type="dxa" w:w="3408"/>
            <w:vAlign w:val="center"/>
          </w:tcPr>
          <w:p>
            <w:r>
              <w:rPr>
                <w:sz w:val="17"/>
              </w:rPr>
              <w:t>Average Billing &amp; Medical Condition</w:t>
            </w:r>
          </w:p>
        </w:tc>
        <w:tc>
          <w:tcPr>
            <w:tcW w:type="dxa" w:w="3408"/>
            <w:vAlign w:val="center"/>
          </w:tcPr>
          <w:p>
            <w:r>
              <w:rPr>
                <w:sz w:val="17"/>
              </w:rPr>
              <w:t>Average billing amount is grouped by medical condition and shown in a bar chart.</w:t>
            </w:r>
          </w:p>
        </w:tc>
        <w:tc>
          <w:tcPr>
            <w:tcW w:type="dxa" w:w="3408"/>
            <w:vAlign w:val="center"/>
          </w:tcPr>
          <w:p>
            <w:r>
              <w:rPr>
                <w:sz w:val="17"/>
              </w:rPr>
              <w:t>Helps compare average healthcare costs across conditions.</w:t>
            </w:r>
          </w:p>
        </w:tc>
      </w:tr>
      <w:tr>
        <w:tc>
          <w:tcPr>
            <w:tcW w:type="dxa" w:w="3408"/>
            <w:vAlign w:val="center"/>
          </w:tcPr>
          <w:p>
            <w:r>
              <w:rPr>
                <w:sz w:val="17"/>
              </w:rPr>
              <w:t>Billing Distribution &amp; Medical Condition</w:t>
            </w:r>
          </w:p>
        </w:tc>
        <w:tc>
          <w:tcPr>
            <w:tcW w:type="dxa" w:w="3408"/>
            <w:vAlign w:val="center"/>
          </w:tcPr>
          <w:p>
            <w:r>
              <w:rPr>
                <w:sz w:val="17"/>
              </w:rPr>
              <w:t>A violin plot compares billing amount distributions across medical conditions.</w:t>
            </w:r>
          </w:p>
        </w:tc>
        <w:tc>
          <w:tcPr>
            <w:tcW w:type="dxa" w:w="3408"/>
            <w:vAlign w:val="center"/>
          </w:tcPr>
          <w:p>
            <w:r>
              <w:rPr>
                <w:sz w:val="17"/>
              </w:rPr>
              <w:t>Shows the spread of billing amounts within each condition.</w:t>
            </w:r>
          </w:p>
        </w:tc>
      </w:tr>
      <w:tr>
        <w:tc>
          <w:tcPr>
            <w:tcW w:type="dxa" w:w="3408"/>
            <w:vAlign w:val="center"/>
          </w:tcPr>
          <w:p>
            <w:r>
              <w:rPr>
                <w:sz w:val="17"/>
              </w:rPr>
              <w:t>Billing Distribution &amp; Insurance</w:t>
            </w:r>
          </w:p>
        </w:tc>
        <w:tc>
          <w:tcPr>
            <w:tcW w:type="dxa" w:w="3408"/>
            <w:vAlign w:val="center"/>
          </w:tcPr>
          <w:p>
            <w:r>
              <w:rPr>
                <w:sz w:val="17"/>
              </w:rPr>
              <w:t>Violin plots compare billing amounts across insurance providers.</w:t>
            </w:r>
          </w:p>
        </w:tc>
        <w:tc>
          <w:tcPr>
            <w:tcW w:type="dxa" w:w="3408"/>
            <w:vAlign w:val="center"/>
          </w:tcPr>
          <w:p>
            <w:r>
              <w:rPr>
                <w:sz w:val="17"/>
              </w:rPr>
              <w:t>Helps compare billing variation among providers.</w:t>
            </w:r>
          </w:p>
        </w:tc>
      </w:tr>
      <w:tr>
        <w:tc>
          <w:tcPr>
            <w:tcW w:type="dxa" w:w="3408"/>
            <w:vAlign w:val="center"/>
          </w:tcPr>
          <w:p>
            <w:r>
              <w:rPr>
                <w:sz w:val="17"/>
              </w:rPr>
              <w:t>Billing &amp; Admission Type</w:t>
            </w:r>
          </w:p>
        </w:tc>
        <w:tc>
          <w:tcPr>
            <w:tcW w:type="dxa" w:w="3408"/>
            <w:vAlign w:val="center"/>
          </w:tcPr>
          <w:p>
            <w:r>
              <w:rPr>
                <w:sz w:val="17"/>
              </w:rPr>
              <w:t>A box plot compares billing amounts for Elective, Urgent and Emergency admissions.</w:t>
            </w:r>
          </w:p>
        </w:tc>
        <w:tc>
          <w:tcPr>
            <w:tcW w:type="dxa" w:w="3408"/>
            <w:vAlign w:val="center"/>
          </w:tcPr>
          <w:p>
            <w:r>
              <w:rPr>
                <w:sz w:val="17"/>
              </w:rPr>
              <w:t>Helps compare medians, spread and potential outliers.</w:t>
            </w:r>
          </w:p>
        </w:tc>
      </w:tr>
      <w:tr>
        <w:tc>
          <w:tcPr>
            <w:tcW w:type="dxa" w:w="3408"/>
            <w:vAlign w:val="center"/>
          </w:tcPr>
          <w:p>
            <w:r>
              <w:rPr>
                <w:sz w:val="17"/>
              </w:rPr>
              <w:t>Admission Type Counts</w:t>
            </w:r>
          </w:p>
        </w:tc>
        <w:tc>
          <w:tcPr>
            <w:tcW w:type="dxa" w:w="3408"/>
            <w:vAlign w:val="center"/>
          </w:tcPr>
          <w:p>
            <w:r>
              <w:rPr>
                <w:sz w:val="17"/>
              </w:rPr>
              <w:t>Elective: 18,655; Urgent: 18,576; Emergency: 18,269.</w:t>
            </w:r>
          </w:p>
        </w:tc>
        <w:tc>
          <w:tcPr>
            <w:tcW w:type="dxa" w:w="3408"/>
            <w:vAlign w:val="center"/>
          </w:tcPr>
          <w:p>
            <w:r>
              <w:rPr>
                <w:sz w:val="17"/>
              </w:rPr>
              <w:t>Admission types are relatively balanced; Elective is slightly more common.</w:t>
            </w:r>
          </w:p>
        </w:tc>
      </w:tr>
      <w:tr>
        <w:tc>
          <w:tcPr>
            <w:tcW w:type="dxa" w:w="3408"/>
            <w:vAlign w:val="center"/>
          </w:tcPr>
          <w:p>
            <w:r>
              <w:rPr>
                <w:sz w:val="17"/>
              </w:rPr>
              <w:t>Medical Conditions</w:t>
            </w:r>
          </w:p>
        </w:tc>
        <w:tc>
          <w:tcPr>
            <w:tcW w:type="dxa" w:w="3408"/>
            <w:vAlign w:val="center"/>
          </w:tcPr>
          <w:p>
            <w:r>
              <w:rPr>
                <w:sz w:val="17"/>
              </w:rPr>
              <w:t>Arthritis: 9,308; Diabetes: 9,304; Asthma: 9,185.</w:t>
            </w:r>
          </w:p>
        </w:tc>
        <w:tc>
          <w:tcPr>
            <w:tcW w:type="dxa" w:w="3408"/>
            <w:vAlign w:val="center"/>
          </w:tcPr>
          <w:p>
            <w:r>
              <w:rPr>
                <w:sz w:val="17"/>
              </w:rPr>
              <w:t>The counts are close, suggesting a fairly balanced distribution across conditions.</w:t>
            </w:r>
          </w:p>
        </w:tc>
      </w:tr>
      <w:tr>
        <w:tc>
          <w:tcPr>
            <w:tcW w:type="dxa" w:w="3408"/>
            <w:vAlign w:val="center"/>
          </w:tcPr>
          <w:p>
            <w:r>
              <w:rPr>
                <w:sz w:val="17"/>
              </w:rPr>
              <w:t>Medication</w:t>
            </w:r>
          </w:p>
        </w:tc>
        <w:tc>
          <w:tcPr>
            <w:tcW w:type="dxa" w:w="3408"/>
            <w:vAlign w:val="center"/>
          </w:tcPr>
          <w:p>
            <w:r>
              <w:rPr>
                <w:sz w:val="17"/>
              </w:rPr>
              <w:t>Lipitor has the highest count (11,140), followed by Ibuprofen and Aspirin, according to the original report.</w:t>
            </w:r>
          </w:p>
        </w:tc>
        <w:tc>
          <w:tcPr>
            <w:tcW w:type="dxa" w:w="3408"/>
            <w:vAlign w:val="center"/>
          </w:tcPr>
          <w:p>
            <w:r>
              <w:rPr>
                <w:sz w:val="17"/>
              </w:rPr>
              <w:t>Medication counts are described as fairly evenly distributed in the original report.</w:t>
            </w:r>
          </w:p>
        </w:tc>
      </w:tr>
      <w:tr>
        <w:tc>
          <w:tcPr>
            <w:tcW w:type="dxa" w:w="3408"/>
            <w:vAlign w:val="center"/>
          </w:tcPr>
          <w:p>
            <w:r>
              <w:rPr>
                <w:sz w:val="17"/>
              </w:rPr>
              <w:t>Monthly Admissions</w:t>
            </w:r>
          </w:p>
        </w:tc>
        <w:tc>
          <w:tcPr>
            <w:tcW w:type="dxa" w:w="3408"/>
            <w:vAlign w:val="center"/>
          </w:tcPr>
          <w:p>
            <w:r>
              <w:rPr>
                <w:sz w:val="17"/>
              </w:rPr>
              <w:t>July: 4,812; August: 4,832. February has 4,255 admissions in the notebook output.</w:t>
            </w:r>
          </w:p>
        </w:tc>
        <w:tc>
          <w:tcPr>
            <w:tcW w:type="dxa" w:w="3408"/>
            <w:vAlign w:val="center"/>
          </w:tcPr>
          <w:p>
            <w:r>
              <w:rPr>
                <w:sz w:val="17"/>
              </w:rPr>
              <w:t>August has the highest monthly count; February has the lowest.</w:t>
            </w:r>
          </w:p>
        </w:tc>
      </w:tr>
      <w:tr>
        <w:tc>
          <w:tcPr>
            <w:tcW w:type="dxa" w:w="3408"/>
            <w:vAlign w:val="center"/>
          </w:tcPr>
          <w:p>
            <w:r>
              <w:rPr>
                <w:sz w:val="17"/>
              </w:rPr>
              <w:t>Correlation</w:t>
            </w:r>
          </w:p>
        </w:tc>
        <w:tc>
          <w:tcPr>
            <w:tcW w:type="dxa" w:w="3408"/>
            <w:vAlign w:val="center"/>
          </w:tcPr>
          <w:p>
            <w:r>
              <w:rPr>
                <w:sz w:val="17"/>
              </w:rPr>
              <w:t>Age–Stay Days: 0.008220; Age–Billing Amount: -0.003832; Stay Days–Billing Amount: -0.005602.</w:t>
            </w:r>
          </w:p>
        </w:tc>
        <w:tc>
          <w:tcPr>
            <w:tcW w:type="dxa" w:w="3408"/>
            <w:vAlign w:val="center"/>
          </w:tcPr>
          <w:p>
            <w:r>
              <w:rPr>
                <w:sz w:val="17"/>
              </w:rPr>
              <w:t>All three correlations are close to zero, indicating almost no linear relationship.</w:t>
            </w:r>
          </w:p>
        </w:tc>
      </w:tr>
      <w:tr>
        <w:tc>
          <w:tcPr>
            <w:tcW w:type="dxa" w:w="3408"/>
            <w:vAlign w:val="center"/>
          </w:tcPr>
          <w:p>
            <w:r>
              <w:rPr>
                <w:sz w:val="17"/>
              </w:rPr>
              <w:t>Insurance Providers</w:t>
            </w:r>
          </w:p>
        </w:tc>
        <w:tc>
          <w:tcPr>
            <w:tcW w:type="dxa" w:w="3408"/>
            <w:vAlign w:val="center"/>
          </w:tcPr>
          <w:p>
            <w:r>
              <w:rPr>
                <w:sz w:val="17"/>
              </w:rPr>
              <w:t>Cigna has 11,249 patients and Aetna has 10,913, as stated in the original report.</w:t>
            </w:r>
          </w:p>
        </w:tc>
        <w:tc>
          <w:tcPr>
            <w:tcW w:type="dxa" w:w="3408"/>
            <w:vAlign w:val="center"/>
          </w:tcPr>
          <w:p>
            <w:r>
              <w:rPr>
                <w:sz w:val="17"/>
              </w:rPr>
              <w:t>Patient counts are relatively balanced across insurance providers.</w:t>
            </w:r>
          </w:p>
        </w:tc>
      </w:tr>
      <w:tr>
        <w:tc>
          <w:tcPr>
            <w:tcW w:type="dxa" w:w="3408"/>
            <w:vAlign w:val="center"/>
          </w:tcPr>
          <w:p>
            <w:r>
              <w:rPr>
                <w:sz w:val="17"/>
              </w:rPr>
              <w:t>Age Group &amp; Medical Condition</w:t>
            </w:r>
          </w:p>
        </w:tc>
        <w:tc>
          <w:tcPr>
            <w:tcW w:type="dxa" w:w="3408"/>
            <w:vAlign w:val="center"/>
          </w:tcPr>
          <w:p>
            <w:r>
              <w:rPr>
                <w:sz w:val="17"/>
              </w:rPr>
              <w:t>A count plot compares age groups across medical conditions.</w:t>
            </w:r>
          </w:p>
        </w:tc>
        <w:tc>
          <w:tcPr>
            <w:tcW w:type="dxa" w:w="3408"/>
            <w:vAlign w:val="center"/>
          </w:tcPr>
          <w:p>
            <w:r>
              <w:rPr>
                <w:sz w:val="17"/>
              </w:rPr>
              <w:t>Helps compare patient counts across age groups and conditions.</w:t>
            </w:r>
          </w:p>
        </w:tc>
      </w:tr>
    </w:tbl>
    <w:p>
      <w:pPr>
        <w:pStyle w:val="Heading1"/>
      </w:pPr>
      <w:r>
        <w:t>2. Methods and Visualizations Used</w:t>
      </w:r>
    </w:p>
    <w:p>
      <w:pPr>
        <w:pStyle w:val="ListBullet"/>
      </w:pPr>
      <w:r>
        <w:t>Box plots: age by medical condition and billing amount by admission type.</w:t>
      </w:r>
    </w:p>
    <w:p>
      <w:pPr>
        <w:pStyle w:val="ListBullet"/>
      </w:pPr>
      <w:r>
        <w:t>Violin plots: billing amount distributions by medical condition and insurance provider.</w:t>
      </w:r>
    </w:p>
    <w:p>
      <w:pPr>
        <w:pStyle w:val="ListBullet"/>
      </w:pPr>
      <w:r>
        <w:t>Bar charts: average billing by medical condition and gender counts across medical conditions.</w:t>
      </w:r>
    </w:p>
    <w:p>
      <w:pPr>
        <w:pStyle w:val="ListBullet"/>
      </w:pPr>
      <w:r>
        <w:t>Count plots: admission type counts and age-group counts by medical condition.</w:t>
      </w:r>
    </w:p>
    <w:p>
      <w:pPr>
        <w:pStyle w:val="ListBullet"/>
      </w:pPr>
      <w:r>
        <w:t>Line plot: monthly admission counts.</w:t>
      </w:r>
    </w:p>
    <w:p>
      <w:pPr>
        <w:pStyle w:val="ListBullet"/>
      </w:pPr>
      <w:r>
        <w:t>Correlation matrix and heatmap: linear relationships among Age, Stay Days and Billing Amount.</w:t>
      </w:r>
    </w:p>
    <w:p>
      <w:pPr>
        <w:pStyle w:val="Heading1"/>
      </w:pPr>
      <w:r>
        <w:t>3. Major Insights</w:t>
      </w:r>
    </w:p>
    <w:p>
      <w:pPr>
        <w:pStyle w:val="ListBullet"/>
      </w:pPr>
      <w:r>
        <w:t>The medical-condition counts and admission-type counts are relatively balanced.</w:t>
      </w:r>
    </w:p>
    <w:p>
      <w:pPr>
        <w:pStyle w:val="ListBullet"/>
      </w:pPr>
      <w:r>
        <w:t>August has the highest monthly admission count (4,832), while February has the lowest (4,255) in the notebook output.</w:t>
      </w:r>
    </w:p>
    <w:p>
      <w:pPr>
        <w:pStyle w:val="ListBullet"/>
      </w:pPr>
      <w:r>
        <w:t>The three reported correlations are very close to zero, so age, stay duration and billing amount have almost no linear relationship in this dataset.</w:t>
      </w:r>
    </w:p>
    <w:p>
      <w:pPr>
        <w:pStyle w:val="ListBullet"/>
      </w:pPr>
      <w:r>
        <w:t>Billing amount distributions can be compared across medical conditions, insurance providers and admission types using the notebook's violin and box plots.</w:t>
      </w:r>
    </w:p>
    <w:p>
      <w:pPr>
        <w:pStyle w:val="ListBullet"/>
      </w:pPr>
      <w:r>
        <w:t>The age-group count plot provides another way to examine the distribution of patients across conditions.</w:t>
      </w:r>
    </w:p>
    <w:p>
      <w:pPr>
        <w:pStyle w:val="Heading1"/>
      </w:pPr>
      <w:r>
        <w:t>4. Conclusion</w:t>
      </w:r>
    </w:p>
    <w:p>
      <w:r>
        <w:t>The Week 6 EDA gives an overview of patient demographics, medical conditions, billing, admission types, monthly admissions, medication and insurance providers. The notebook uses several visualizations to compare groups and explore patterns. The category counts are broadly balanced, while the correlation values indicate almost no linear relationship between age, stay duration and billing amount. These results describe patterns in this dataset; they do not by themselves establish causes or explain why billing amounts differ.</w:t>
      </w:r>
    </w:p>
    <w:p>
      <w:r>
        <w:t>Note: Numeric findings above are retained from the uploaded report and the saved notebook outputs. The notebook's billing plots are described as comparisons because the saved outputs do not provide readable exact values for every plotted distribution.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