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SPK dan Statement of Work</w:t>
      </w:r>
    </w:p>
    <w:p>
      <w:r>
        <w:t>Kerangka kesepakatan jasa untuk disesuaikan dengan identitas, pekerjaan, dan risiko proyek. Dokumen ini merupakan materi edukasi dan belum ditinjau oleh penasihat hukum untuk kebutuhan khususmu.</w:t>
      </w:r>
    </w:p>
    <w:p>
      <w:pPr>
        <w:pStyle w:val="Heading1"/>
      </w:pPr>
      <w:r>
        <w:t>Petunjuk dan keputusan wajib</w:t>
      </w:r>
    </w:p>
    <w:p>
      <w:pPr>
        <w:pStyle w:val="Heading2"/>
      </w:pPr>
      <w:r>
        <w:t>Cara menyiapkan versi final</w:t>
      </w:r>
    </w:p>
    <w:p>
      <w:r>
        <w:t>Isi seluruh penanda WAJIB ISI, pilih opsi yang sesuai, dan hapus petunjuk serta contoh sebelum dikirim. Beri nomor dan versi pada SPK, SOW, dan lampiran. Kedua pihak perlu memahami dan menyepakati seluruh isinya sebelum mulai.</w:t>
      </w:r>
    </w:p>
    <w:p>
      <w:pPr>
        <w:pStyle w:val="Heading2"/>
      </w:pPr>
      <w:r>
        <w:t>Perlu penyesuaian profesional</w:t>
      </w:r>
    </w:p>
    <w:p>
      <w:r>
        <w:t>Identitas dan kewenangan, pengalihan hak, batas tanggung jawab, pembatalan, keadaan kahar, pajak, tanda tangan, bahasa, dan forum sengketa bergantung pada konteks. Jangan menganggap template sah universal. Untuk proyek lintas negara atau data sensitif, minta pemeriksaan hukum yang relevan.</w:t>
      </w:r>
    </w:p>
    <w:tbl>
      <w:tblPr>
        <w:tblW w:type="auto" w:w="0"/>
        <w:tblLayout w:type="fixed"/>
        <w:tblLook w:firstColumn="1" w:firstRow="1" w:lastColumn="0" w:lastRow="0" w:noHBand="0" w:noVBand="1" w:val="04A0"/>
      </w:tblPr>
      <w:tblGrid>
        <w:gridCol w:w="4896"/>
        <w:gridCol w:w="4896"/>
      </w:tblGrid>
      <w:tr>
        <w:trPr>
          <w:tblHeader/>
          <w:cantSplit/>
        </w:trPr>
        <w:tc>
          <w:tcPr>
            <w:tcW w:type="dxa" w:w="3024"/>
            <w:vAlign w:val="center"/>
            <w:shd w:fill="303B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color w:val="FFFFFF"/>
                <w:sz w:val="20"/>
              </w:rPr>
              <w:t>Keputusan wajib</w:t>
            </w:r>
          </w:p>
        </w:tc>
        <w:tc>
          <w:tcPr>
            <w:tcW w:type="dxa" w:w="6624"/>
            <w:vAlign w:val="center"/>
            <w:shd w:fill="303B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color w:val="FFFFFF"/>
                <w:sz w:val="20"/>
              </w:rPr>
              <w:t>Isian final</w:t>
            </w:r>
          </w:p>
        </w:tc>
      </w:tr>
      <w:tr>
        <w:trPr>
          <w:cantSplit/>
        </w:trPr>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Para pihak dan penandatangan</w:t>
            </w:r>
          </w:p>
        </w:tc>
        <w:tc>
          <w:tcPr>
            <w:tcW w:type="dxa" w:w="66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[WAJIB ISI]</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Scope dan versi lampiran</w:t>
            </w:r>
          </w:p>
        </w:tc>
        <w:tc>
          <w:tcPr>
            <w:tcW w:type="dxa" w:w="66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[WAJIB ISI]</w:t>
            </w:r>
          </w:p>
        </w:tc>
      </w:tr>
      <w:tr>
        <w:trPr>
          <w:cantSplit/>
        </w:trPr>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Harga pajak dan termin</w:t>
            </w:r>
          </w:p>
        </w:tc>
        <w:tc>
          <w:tcPr>
            <w:tcW w:type="dxa" w:w="66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[WAJIB ISI]</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Revisi penerimaan dan dukungan</w:t>
            </w:r>
          </w:p>
        </w:tc>
        <w:tc>
          <w:tcPr>
            <w:tcW w:type="dxa" w:w="66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[WAJIB ISI]</w:t>
            </w:r>
          </w:p>
        </w:tc>
      </w:tr>
      <w:tr>
        <w:trPr>
          <w:cantSplit/>
        </w:trPr>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Hak hasil dan aset pihak ketiga</w:t>
            </w:r>
          </w:p>
        </w:tc>
        <w:tc>
          <w:tcPr>
            <w:tcW w:type="dxa" w:w="66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[WAJIB ISI]</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Jeda pembatalan dan penyelesaian</w:t>
            </w:r>
          </w:p>
        </w:tc>
        <w:tc>
          <w:tcPr>
            <w:tcW w:type="dxa" w:w="66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[WAJIB ISI]</w:t>
            </w:r>
          </w:p>
        </w:tc>
      </w:tr>
    </w:tbl>
    <w:p>
      <w:pPr>
        <w:spacing w:after="40"/>
      </w:pPr>
    </w:p>
    <w:p>
      <w:pPr>
        <w:pStyle w:val="Heading2"/>
      </w:pPr>
      <w:r>
        <w:t>Rujukan pengantar</w:t>
      </w:r>
    </w:p>
    <w:p>
      <w:r>
        <w:t>Mahkamah Agung membahas syarat perjanjian dalam Pasal 1320 serta kekuatan mengikat Pasal 1338 KUHPerdata. Pengolahan data pribadi perlu mempertimbangkan UU 27 Tahun 2022. Tautan resmi ada pada halaman terakhir; rujukan tersebut tidak menggantikan penilaian atas proyek ini.</w:t>
      </w:r>
    </w:p>
    <w:p>
      <w:pPr>
        <w:pStyle w:val="Heading1"/>
        <w:pageBreakBefore/>
      </w:pPr>
      <w:r>
        <w:t>Surat perjanjian kerja</w:t>
      </w:r>
    </w:p>
    <w:p>
      <w:pPr>
        <w:keepNext/>
      </w:pPr>
      <w:r>
        <w:rPr>
          <w:b/>
        </w:rPr>
        <w:t>Nomor dan tanggal</w:t>
      </w:r>
    </w:p>
    <w:p>
      <w:pPr>
        <w:spacing w:after="60"/>
      </w:pPr>
      <w:r>
        <w:t>[WAJIB ISI: nomor SPK, versi, tempat dan tanggal]</w:t>
      </w:r>
    </w:p>
    <w:p>
      <w:pPr>
        <w:spacing w:after="20" w:line="240" w:lineRule="auto"/>
      </w:pPr>
      <w:r>
        <w:rPr>
          <w:color w:val="A0A69F"/>
          <w:sz w:val="16"/>
        </w:rPr>
        <w:t>________________________________________________________________________</w:t>
      </w:r>
    </w:p>
    <w:p>
      <w:pPr>
        <w:pStyle w:val="Heading2"/>
      </w:pPr>
      <w:r>
        <w:t>1 Para pihak</w:t>
      </w:r>
    </w:p>
    <w:p>
      <w:r>
        <w:t>[WAJIB ISI: nama dan alamat penyedia], diwakili [nama dan kewenangan bila berlaku], disebut Penyedia; dan [WAJIB ISI: nama serta alamat klien], diwakili [nama dan kewenangan bila berlaku], disebut Klien. Kontak resmi masing-masing adalah [WAJIB ISI].</w:t>
      </w:r>
    </w:p>
    <w:p>
      <w:pPr>
        <w:pStyle w:val="Heading2"/>
      </w:pPr>
      <w:r>
        <w:t>2 Pekerjaan dan dokumen</w:t>
      </w:r>
    </w:p>
    <w:p>
      <w:r>
        <w:t>Penyedia melaksanakan jasa [WAJIB ISI] sesuai SOW nomor [WAJIB ISI] versi [WAJIB ISI], yang menjadi bagian kesepakatan ini. Urutan prioritas dokumen bila bertentangan: [WAJIB ISI: misalnya addendum terakhir, SPK, SOW, proposal]. Perubahan berlaku setelah disetujui tertulis oleh PIC berwenang.</w:t>
      </w:r>
    </w:p>
    <w:p>
      <w:pPr>
        <w:pStyle w:val="Heading2"/>
      </w:pPr>
      <w:r>
        <w:t>3 Nilai dan pembayaran</w:t>
      </w:r>
    </w:p>
    <w:p>
      <w:r>
        <w:t>Nilai pekerjaan [WAJIB ISI: mata uang dan total], dengan perlakuan pajak dan biaya transaksi [WAJIB ISI]. Termin, pemicu tagihan, serta jatuh tempo tercantum pada SOW. Dana dianggap diterima setelah diverifikasi pada sumber pembayaran. Bukti potong bila berlaku disampaikan melalui [WAJIB ISI].</w:t>
      </w:r>
    </w:p>
    <w:p>
      <w:pPr>
        <w:pStyle w:val="Heading2"/>
      </w:pPr>
      <w:r>
        <w:t>4 Prasyarat dan jadwal</w:t>
      </w:r>
    </w:p>
    <w:p>
      <w:r>
        <w:t>Pekerjaan dimulai setelah [WAJIB ISI: dokumen disepakati, pembayaran awal, bahan dan akses minimum]. Jadwal serta hari kerja ada di SOW. Keterlambatan bahan, keputusan, akses, atau pembayaran diberitahukan tertulis; penyesuaian tanggal disetujui berdasarkan dampak serta kapasitas aktual.</w:t>
      </w:r>
    </w:p>
    <w:p>
      <w:pPr>
        <w:pStyle w:val="Heading1"/>
        <w:pageBreakBefore/>
      </w:pPr>
      <w:r>
        <w:t>Pelaksanaan dan penerimaan</w:t>
      </w:r>
    </w:p>
    <w:p>
      <w:pPr>
        <w:pStyle w:val="Heading2"/>
      </w:pPr>
      <w:r>
        <w:t>5 Peran dan komunikasi</w:t>
      </w:r>
    </w:p>
    <w:p>
      <w:r>
        <w:t>Penyedia memberikan hasil dan pembaruan sesuai SOW. Klien menyediakan bahan yang benar serta memiliki izin penggunaannya, akses minimum yang diperlukan, dan masukan terkonsolidasi. PIC persetujuan adalah [WAJIB ISI]. Kanal resmi, jam kerja, ritme update, dan waktu respons adalah [WAJIB ISI].</w:t>
      </w:r>
    </w:p>
    <w:p>
      <w:pPr>
        <w:pStyle w:val="Heading2"/>
      </w:pPr>
      <w:r>
        <w:t>6 Revisi dan perubahan</w:t>
      </w:r>
    </w:p>
    <w:p>
      <w:r>
        <w:t>Termasuk [WAJIB ISI] putaran revisi. Satu putaran berarti satu daftar masukan terkonsolidasi dalam scope dan arah yang disetujui. Kesalahan Penyedia terhadap spesifikasi diperbaiki tanpa mengurangi jatah revisi. Kebutuhan baru diajukan sebagai change request yang menyebut biaya, jadwal, dan dampak. Bagian tambahan tidak dimulai sebelum persetujuan tertulis.</w:t>
      </w:r>
    </w:p>
    <w:p>
      <w:pPr>
        <w:pStyle w:val="Heading2"/>
      </w:pPr>
      <w:r>
        <w:t>7 Pemeriksaan dan penerimaan</w:t>
      </w:r>
    </w:p>
    <w:p>
      <w:r>
        <w:t>Klien memeriksa hasil berdasarkan acceptance criteria pada SOW dalam [WAJIB ISI] hari kerja sejak hasil siap diperiksa. Keputusan tertulis adalah diterima, diterima dengan catatan, atau perlu perbaikan beserta alasan spesifik. Jika belum ada tanggapan, Penyedia meminta konfirmasi dan menyepakati jadwal baru; diam tidak otomatis dianggap penerimaan.</w:t>
      </w:r>
    </w:p>
    <w:p>
      <w:pPr>
        <w:pStyle w:val="Heading2"/>
      </w:pPr>
      <w:r>
        <w:t>8 Serah terima dan dukungan</w:t>
      </w:r>
    </w:p>
    <w:p>
      <w:r>
        <w:t>Serah terima mencakup [WAJIB ISI: hasil final, source bila berlaku, panduan, akses, lisensi] setelah syarat pembayaran dan penerimaan yang disepakati terpenuhi. Dukungan perbaikan kesalahan terhadap SOW berlaku [WAJIB ISI] melalui [kanal dan jam]. Perubahan fitur, konten baru, serta gangguan pihak ketiga di luar tanggung jawab Penyedia memerlukan kesepakatan terpisah.</w:t>
      </w:r>
    </w:p>
    <w:p>
      <w:pPr>
        <w:pStyle w:val="Heading1"/>
        <w:pageBreakBefore/>
      </w:pPr>
      <w:r>
        <w:t>Hak dan perlindungan informasi</w:t>
      </w:r>
    </w:p>
    <w:p>
      <w:pPr>
        <w:pStyle w:val="Heading2"/>
      </w:pPr>
      <w:r>
        <w:t>9 Kepemilikan hasil</w:t>
      </w:r>
    </w:p>
    <w:p>
      <w:r>
        <w:t>Hak atas hasil khusus proyek [WAJIB ISI: sebutkan hasil dan hak yang dialihkan atau dilisensikan] berlaku [WAJIB ISI: kapan dan syaratnya]. Materi milik Penyedia yang sudah ada sebelumnya tetap milik Penyedia, dengan lisensi kepada Klien [WAJIB ISI: cakupan dan durasi]. Aset pihak ketiga mengikuti lisensinya masing-masing dan dirinci dalam SOW.</w:t>
      </w:r>
    </w:p>
    <w:p>
      <w:pPr>
        <w:pStyle w:val="Heading2"/>
      </w:pPr>
      <w:r>
        <w:t>10 Publikasi portofolio</w:t>
      </w:r>
    </w:p>
    <w:p>
      <w:r>
        <w:t>Penggunaan nama, logo, screenshot, atau rincian Klien untuk portofolio hanya dilakukan setelah persetujuan tertulis terpisah yang menyebut materi serta tujuan. Kerahasiaan tetap berlaku walaupun proyek selesai. Pilihan publikasi: [WAJIB ISI: tidak diizinkan atau menunggu izin per materi].</w:t>
      </w:r>
    </w:p>
    <w:p>
      <w:pPr>
        <w:pStyle w:val="Heading2"/>
      </w:pPr>
      <w:r>
        <w:t>11 Kerahasiaan dan data</w:t>
      </w:r>
    </w:p>
    <w:p>
      <w:r>
        <w:t>Para pihak menjaga informasi nonpublik yang diterima untuk proyek, menggunakannya hanya sesuai tujuan, dan membatasi akses. Pengecualian yang sah, penanganan kewajiban pengungkapan, periode kerahasiaan, serta periode simpan dan hapus data: [WAJIB ISI]. Insiden dilaporkan melalui [WAJIB ISI] sesuai kewajiban yang berlaku. Pengaturan ini tidak menggantikan NDA atau perjanjian pemrosesan data bila diperlukan.</w:t>
      </w:r>
    </w:p>
    <w:p>
      <w:pPr>
        <w:pStyle w:val="Heading2"/>
      </w:pPr>
      <w:r>
        <w:t>12 Pihak ketiga dan AI</w:t>
      </w:r>
    </w:p>
    <w:p>
      <w:r>
        <w:t>Layanan, subkontraktor, atau AI yang boleh digunakan beserta kategori data yang boleh diproses: [WAJIB ISI]. Penyedia memeriksa hasil sebelum diserahkan. Data rahasia tidak dikirim ke layanan di luar persetujuan atau dasar pemrosesan yang sesuai. Perubahan provider yang memengaruhi risiko dikomunikasikan sebelum digunakan.</w:t>
      </w:r>
    </w:p>
    <w:p>
      <w:pPr>
        <w:pStyle w:val="Heading1"/>
        <w:pageBreakBefore/>
      </w:pPr>
      <w:r>
        <w:t>Pengakhiran dan persetujuan</w:t>
      </w:r>
    </w:p>
    <w:p>
      <w:pPr>
        <w:pStyle w:val="Heading2"/>
      </w:pPr>
      <w:r>
        <w:t>13 Jeda dan pembatalan</w:t>
      </w:r>
    </w:p>
    <w:p>
      <w:r>
        <w:t>Pihak yang menghadapi hambatan memberi pemberitahuan tertulis. Masa tanggapan sebelum jeda [WAJIB ISI] hari kerja. Pengakhiran, kesempatan memperbaiki pelanggaran, serta mekanisme pemberitahuan: [WAJIB ISI]. Pada pembatalan, rekonsiliasi pekerjaan selesai, biaya pihak ketiga yang disetujui dan tak dapat dipulihkan, dana diterima, hasil yang dapat diserahkan, serta refund atau sisa tagihan dalam [WAJIB ISI] hari.</w:t>
      </w:r>
    </w:p>
    <w:p>
      <w:pPr>
        <w:pStyle w:val="Heading2"/>
      </w:pPr>
      <w:r>
        <w:t>14 Tanggung jawab dan keadaan kahar</w:t>
      </w:r>
    </w:p>
    <w:p>
      <w:r>
        <w:t>Tanggung jawab masing-masing, batas yang diperbolehkan hukum, pengecualian, dan penanganan kerugian: [WAJIB ISI setelah ditinjau sesuai risiko]. Keadaan di luar kendali yang menghambat pekerjaan diberitahukan berikut dampaknya; pihak menyepakati penjadwalan, kelanjutan, atau pengakhiran [WAJIB ISI: mekanisme]. Tidak ada pembebasan kewajiban hukum yang tidak dapat dikesampingkan.</w:t>
      </w:r>
    </w:p>
    <w:p>
      <w:pPr>
        <w:pStyle w:val="Heading2"/>
      </w:pPr>
      <w:r>
        <w:t>15 Penyelesaian perselisihan</w:t>
      </w:r>
    </w:p>
    <w:p>
      <w:r>
        <w:t>Para pihak terlebih dahulu bermusyawarah melalui PIC resmi dalam [WAJIB ISI] hari kerja. Hukum yang berlaku, bahasa perjanjian, dan forum atau metode penyelesaian selanjutnya adalah [WAJIB ISI setelah penyesuaian profesional]. Perubahan hanya melalui persetujuan tertulis pihak yang berwenang.</w:t>
      </w:r>
    </w:p>
    <w:p>
      <w:pPr>
        <w:pStyle w:val="Heading2"/>
      </w:pPr>
      <w:r>
        <w:t>16 Persetujuan</w:t>
      </w:r>
    </w:p>
    <w:p>
      <w:r>
        <w:t>Para pihak menyatakan telah membaca dan memahami dokumen serta lampirannya. Cara penandatanganan [WAJIB ISI]. Setiap pihak menyimpan salinan final yang sama.</w:t>
      </w:r>
    </w:p>
    <w:tbl>
      <w:tblPr>
        <w:tblW w:type="auto" w:w="0"/>
        <w:tblLayout w:type="fixed"/>
        <w:tblLook w:firstColumn="1" w:firstRow="1" w:lastColumn="0" w:lastRow="0" w:noHBand="0" w:noVBand="1" w:val="04A0"/>
      </w:tblPr>
      <w:tblGrid>
        <w:gridCol w:w="4896"/>
        <w:gridCol w:w="4896"/>
      </w:tblGrid>
      <w:tr>
        <w:trPr>
          <w:tblHeader/>
          <w:cantSplit/>
        </w:trPr>
        <w:tc>
          <w:tcPr>
            <w:tcW w:type="dxa" w:w="3024"/>
            <w:vAlign w:val="center"/>
            <w:shd w:fill="303B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color w:val="FFFFFF"/>
                <w:sz w:val="20"/>
              </w:rPr>
              <w:t>Untuk Penyedia</w:t>
            </w:r>
          </w:p>
        </w:tc>
        <w:tc>
          <w:tcPr>
            <w:tcW w:type="dxa" w:w="6624"/>
            <w:vAlign w:val="center"/>
            <w:shd w:fill="303B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color w:val="FFFFFF"/>
                <w:sz w:val="20"/>
              </w:rPr>
              <w:t>Untuk Klien</w:t>
            </w:r>
          </w:p>
        </w:tc>
      </w:tr>
      <w:tr>
        <w:trPr>
          <w:cantSplit/>
        </w:trPr>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Nama [WAJIB ISI]</w:t>
            </w:r>
          </w:p>
        </w:tc>
        <w:tc>
          <w:tcPr>
            <w:tcW w:type="dxa" w:w="66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Nama [WAJIB ISI]</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Jabatan atau kewenangan [ISI]</w:t>
            </w:r>
          </w:p>
        </w:tc>
        <w:tc>
          <w:tcPr>
            <w:tcW w:type="dxa" w:w="66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Jabatan atau kewenangan [ISI]</w:t>
            </w:r>
          </w:p>
        </w:tc>
      </w:tr>
      <w:tr>
        <w:trPr>
          <w:cantSplit/>
        </w:trPr>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Tanda tangan [ISI]</w:t>
            </w:r>
          </w:p>
        </w:tc>
        <w:tc>
          <w:tcPr>
            <w:tcW w:type="dxa" w:w="66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Tanda tangan [ISI]</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Tanggal [ISI]</w:t>
            </w:r>
          </w:p>
        </w:tc>
        <w:tc>
          <w:tcPr>
            <w:tcW w:type="dxa" w:w="66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Tanggal [ISI]</w:t>
            </w:r>
          </w:p>
        </w:tc>
      </w:tr>
    </w:tbl>
    <w:p>
      <w:pPr>
        <w:spacing w:after="40"/>
      </w:pPr>
    </w:p>
    <w:p>
      <w:pPr>
        <w:pStyle w:val="Heading1"/>
        <w:pageBreakBefore/>
      </w:pPr>
      <w:r>
        <w:t>Statement of Work</w:t>
      </w:r>
    </w:p>
    <w:p>
      <w:pPr>
        <w:keepNext/>
      </w:pPr>
      <w:r>
        <w:rPr>
          <w:b/>
        </w:rPr>
        <w:t>Identitas lampiran</w:t>
      </w:r>
    </w:p>
    <w:p>
      <w:pPr>
        <w:spacing w:after="60"/>
      </w:pPr>
      <w:r>
        <w:t>[WAJIB ISI: nomor SOW, versi, ID proyek, nomor SPK, tanggal]</w:t>
      </w:r>
    </w:p>
    <w:p>
      <w:pPr>
        <w:spacing w:after="20" w:line="240" w:lineRule="auto"/>
      </w:pPr>
      <w:r>
        <w:rPr>
          <w:color w:val="A0A69F"/>
          <w:sz w:val="16"/>
        </w:rPr>
        <w:t>________________________________________________________________________</w:t>
      </w:r>
    </w:p>
    <w:p>
      <w:pPr>
        <w:keepNext/>
      </w:pPr>
      <w:r>
        <w:rPr>
          <w:b/>
        </w:rPr>
        <w:t>Tujuan dan hasil</w:t>
      </w:r>
    </w:p>
    <w:p>
      <w:pPr>
        <w:spacing w:after="60"/>
      </w:pPr>
      <w:r>
        <w:t>[WAJIB ISI: kebutuhan dan hasil yang dapat diperiksa]</w:t>
      </w:r>
    </w:p>
    <w:p>
      <w:pPr>
        <w:spacing w:after="20" w:line="240" w:lineRule="auto"/>
      </w:pPr>
      <w:r>
        <w:rPr>
          <w:color w:val="A0A69F"/>
          <w:sz w:val="16"/>
        </w:rPr>
        <w:t>________________________________________________________________________</w:t>
      </w:r>
    </w:p>
    <w:tbl>
      <w:tblPr>
        <w:tblW w:type="auto" w:w="0"/>
        <w:tblLayout w:type="fixed"/>
        <w:tblLook w:firstColumn="1" w:firstRow="1" w:lastColumn="0" w:lastRow="0" w:noHBand="0" w:noVBand="1" w:val="04A0"/>
      </w:tblPr>
      <w:tblGrid>
        <w:gridCol w:w="3264"/>
        <w:gridCol w:w="3264"/>
        <w:gridCol w:w="3264"/>
      </w:tblGrid>
      <w:tr>
        <w:trPr>
          <w:tblHeader/>
          <w:cantSplit/>
        </w:trPr>
        <w:tc>
          <w:tcPr>
            <w:tcW w:type="dxa" w:w="3024"/>
            <w:vAlign w:val="center"/>
            <w:shd w:fill="303B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color w:val="FFFFFF"/>
                <w:sz w:val="20"/>
              </w:rPr>
              <w:t>Deliverable</w:t>
            </w:r>
          </w:p>
        </w:tc>
        <w:tc>
          <w:tcPr>
            <w:tcW w:type="dxa" w:w="3024"/>
            <w:vAlign w:val="center"/>
            <w:shd w:fill="303B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color w:val="FFFFFF"/>
                <w:sz w:val="20"/>
              </w:rPr>
              <w:t>Format jumlah</w:t>
            </w:r>
          </w:p>
        </w:tc>
        <w:tc>
          <w:tcPr>
            <w:tcW w:type="dxa" w:w="3600"/>
            <w:vAlign w:val="center"/>
            <w:shd w:fill="303B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color w:val="FFFFFF"/>
                <w:sz w:val="20"/>
              </w:rPr>
              <w:t>Acceptance criteria</w:t>
            </w:r>
          </w:p>
        </w:tc>
      </w:tr>
      <w:tr>
        <w:trPr>
          <w:cantSplit/>
        </w:trPr>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[WAJIB ISI]</w:t>
            </w:r>
          </w:p>
        </w:tc>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[WAJIB ISI]</w:t>
            </w:r>
          </w:p>
        </w:tc>
        <w:tc>
          <w:tcPr>
            <w:tcW w:type="dxa" w:w="3600"/>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[WAJIB ISI]</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[Tambahkan bila diperlukan]</w:t>
            </w:r>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c>
          <w:tcPr>
            <w:tcW w:type="dxa" w:w="36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r>
    </w:tbl>
    <w:p>
      <w:pPr>
        <w:spacing w:after="40"/>
      </w:pPr>
    </w:p>
    <w:p>
      <w:pPr>
        <w:keepNext/>
      </w:pPr>
      <w:r>
        <w:rPr>
          <w:b/>
        </w:rPr>
        <w:t>Pengecualian dan bahan dari klien</w:t>
      </w:r>
    </w:p>
    <w:p>
      <w:pPr>
        <w:spacing w:after="60"/>
      </w:pPr>
      <w:r>
        <w:t>[WAJIB ISI: fitur di luar scope, materi, akses minimum, PIC dan tenggat]</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tbl>
      <w:tblPr>
        <w:tblW w:type="auto" w:w="0"/>
        <w:tblLayout w:type="fixed"/>
        <w:tblLook w:firstColumn="1" w:firstRow="1" w:lastColumn="0" w:lastRow="0" w:noHBand="0" w:noVBand="1" w:val="04A0"/>
      </w:tblPr>
      <w:tblGrid>
        <w:gridCol w:w="3264"/>
        <w:gridCol w:w="3264"/>
        <w:gridCol w:w="3264"/>
      </w:tblGrid>
      <w:tr>
        <w:trPr>
          <w:tblHeader/>
          <w:cantSplit/>
        </w:trPr>
        <w:tc>
          <w:tcPr>
            <w:tcW w:type="dxa" w:w="3024"/>
            <w:vAlign w:val="center"/>
            <w:shd w:fill="303B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color w:val="FFFFFF"/>
                <w:sz w:val="20"/>
              </w:rPr>
              <w:t>Milestone</w:t>
            </w:r>
          </w:p>
        </w:tc>
        <w:tc>
          <w:tcPr>
            <w:tcW w:type="dxa" w:w="3024"/>
            <w:vAlign w:val="center"/>
            <w:shd w:fill="303B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color w:val="FFFFFF"/>
                <w:sz w:val="20"/>
              </w:rPr>
              <w:t>Jadwal dan pemicu</w:t>
            </w:r>
          </w:p>
        </w:tc>
        <w:tc>
          <w:tcPr>
            <w:tcW w:type="dxa" w:w="3600"/>
            <w:vAlign w:val="center"/>
            <w:shd w:fill="303B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color w:val="FFFFFF"/>
                <w:sz w:val="20"/>
              </w:rPr>
              <w:t>Biaya atau termin</w:t>
            </w:r>
          </w:p>
        </w:tc>
      </w:tr>
      <w:tr>
        <w:trPr>
          <w:cantSplit/>
        </w:trPr>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Kickoff</w:t>
            </w:r>
          </w:p>
        </w:tc>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c>
          <w:tcPr>
            <w:tcW w:type="dxa" w:w="3600"/>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Review rancangan</w:t>
            </w:r>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c>
          <w:tcPr>
            <w:tcW w:type="dxa" w:w="36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r>
      <w:tr>
        <w:trPr>
          <w:cantSplit/>
        </w:trPr>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Implementasi dan pengujian</w:t>
            </w:r>
          </w:p>
        </w:tc>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c>
          <w:tcPr>
            <w:tcW w:type="dxa" w:w="3600"/>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Penerimaan dan handover</w:t>
            </w:r>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c>
          <w:tcPr>
            <w:tcW w:type="dxa" w:w="36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r>
    </w:tbl>
    <w:p>
      <w:pPr>
        <w:spacing w:after="40"/>
      </w:pPr>
    </w:p>
    <w:p>
      <w:pPr>
        <w:keepNext/>
      </w:pPr>
      <w:r>
        <w:rPr>
          <w:b/>
        </w:rPr>
        <w:t>Revisi dan dukungan</w:t>
      </w:r>
    </w:p>
    <w:p>
      <w:pPr>
        <w:spacing w:after="60"/>
      </w:pPr>
      <w:r>
        <w:t>[WAJIB ISI: jumlah putaran, waktu masukan, kanal, masa dan cakupan dukungan]</w:t>
      </w:r>
    </w:p>
    <w:p>
      <w:pPr>
        <w:spacing w:after="20" w:line="240" w:lineRule="auto"/>
      </w:pPr>
      <w:r>
        <w:rPr>
          <w:color w:val="A0A69F"/>
          <w:sz w:val="16"/>
        </w:rPr>
        <w:t>________________________________________________________________________</w:t>
      </w:r>
    </w:p>
    <w:p>
      <w:pPr>
        <w:keepNext/>
      </w:pPr>
      <w:r>
        <w:rPr>
          <w:b/>
        </w:rPr>
        <w:t>Daftar aset dan lisensi</w:t>
      </w:r>
    </w:p>
    <w:p>
      <w:pPr>
        <w:spacing w:after="60"/>
      </w:pPr>
      <w:r>
        <w:t>[WAJIB ISI: source, materi lama, pihak ketiga, biaya berulang, pemilik akun]</w:t>
      </w:r>
    </w:p>
    <w:p>
      <w:pPr>
        <w:spacing w:after="20" w:line="240" w:lineRule="auto"/>
      </w:pPr>
      <w:r>
        <w:rPr>
          <w:color w:val="A0A69F"/>
          <w:sz w:val="16"/>
        </w:rPr>
        <w:t>________________________________________________________________________</w:t>
      </w:r>
    </w:p>
    <w:p>
      <w:pPr>
        <w:keepNext/>
      </w:pPr>
      <w:r>
        <w:rPr>
          <w:b/>
        </w:rPr>
        <w:t>Persetujuan SOW</w:t>
      </w:r>
    </w:p>
    <w:p>
      <w:pPr>
        <w:spacing w:after="60"/>
      </w:pPr>
      <w:r>
        <w:t>[WAJIB ISI: nama, kewenangan, tanda tangan atau kanal persetujuan dan tanggal kedua pihak]</w:t>
      </w:r>
    </w:p>
    <w:p>
      <w:pPr>
        <w:spacing w:after="20" w:line="240" w:lineRule="auto"/>
      </w:pPr>
      <w:r>
        <w:rPr>
          <w:color w:val="A0A69F"/>
          <w:sz w:val="16"/>
        </w:rPr>
        <w:t>________________________________________________________________________</w:t>
      </w:r>
    </w:p>
    <w:p>
      <w:pPr>
        <w:pStyle w:val="Heading1"/>
        <w:pageBreakBefore/>
      </w:pPr>
      <w:r>
        <w:t>Perubahan dan contoh pengisian</w:t>
      </w:r>
    </w:p>
    <w:p>
      <w:pPr>
        <w:pStyle w:val="Heading2"/>
      </w:pPr>
      <w:r>
        <w:t>Form change request</w:t>
      </w:r>
    </w:p>
    <w:p>
      <w:r>
        <w:t>Nomor [WAJIB ISI], ID proyek [WAJIB ISI], pemohon dan tanggal [WAJIB ISI]. Kebutuhan baru [ISI]. Dampak pada hasil, acceptance, lisensi, biaya dan jadwal [ISI]. Pilihan diterima atau ditolak beserta alasan [ISI]. Persetujuan kedua pihak dan tanggal berlaku [WAJIB ISI].</w:t>
      </w:r>
    </w:p>
    <w:p>
      <w:r>
        <w:rPr>
          <w:i/>
          <w:sz w:val="18"/>
        </w:rPr>
        <w:t>CONTOH FIKTIF - SOW DEMO-001. Contoh ini belum menjadi perjanjian dan tidak untuk ditandatangani.</w:t>
      </w:r>
    </w:p>
    <w:p>
      <w:pPr>
        <w:pStyle w:val="Heading2"/>
      </w:pPr>
      <w:r>
        <w:t>Scope dan harga contoh</w:t>
      </w:r>
    </w:p>
    <w:p>
      <w:r>
        <w:t>Landing page satu halaman lima section; mobile, tombol WhatsApp, form brief, panduan. Dua putaran revisi. Sepuluh hari kerja aktif setelah dokumen, DP, serta bahan lengkap. Harga Rp3.850.000 sebelum penyesuaian pajak. Termin Rp1.925.000, Rp1.155.000, dan Rp770.000.</w:t>
      </w:r>
    </w:p>
    <w:p>
      <w:pPr>
        <w:pStyle w:val="Heading2"/>
      </w:pPr>
      <w:r>
        <w:t>Penerimaan dan pengecualian contoh</w:t>
      </w:r>
    </w:p>
    <w:p>
      <w:r>
        <w:t>Form mengirim data uji, nomor WhatsApp benar, lima section sesuai daftar, tanpa scroll horizontal pada lebar 360, 768, dan 1440 piksel. Tidak termasuk checkout, CMS, hosting, domain, dan copywriting penuh. Dukungan contoh 14 hari kalender untuk kesalahan terhadap SOW. Hak hasil serta lisensi harus dirinci pada versi nyata.</w:t>
      </w:r>
    </w:p>
    <w:p>
      <w:pPr>
        <w:pStyle w:val="Heading2"/>
      </w:pPr>
      <w:r>
        <w:t>Sumber resmi</w:t>
      </w:r>
    </w:p>
    <w:p>
      <w:r/>
      <w:hyperlink r:id="rId11">
        <w:r>
          <w:rPr>
            <w:color w:val="49634D"/>
          </w:rPr>
          <w:t>https://marinews.mahkamahagung.go.id/artikel/dilema-perjanjian-yang-dapat-dibatalkan-dan-batal-demi-hukum-02t</w:t>
        </w:r>
      </w:hyperlink>
      <w:r>
        <w:br/>
      </w:r>
      <w:hyperlink r:id="rId12">
        <w:r>
          <w:rPr>
            <w:color w:val="49634D"/>
          </w:rPr>
          <w:t>https://peraturan.bpk.go.id/Details/229798/uu-no-27-tahun-2022</w:t>
        </w:r>
      </w:hyperlink>
      <w:r/>
    </w:p>
    <w:p>
      <w:r>
        <w:rPr>
          <w:i/>
          <w:sz w:val="18"/>
        </w:rPr>
        <w:t>Diperiksa 19 Oktober 2026. Pajak, tanda tangan, hak cipta, perlindungan data dan keberlakuan kontrak bergantung pada fakta serta ketentuan yang berlaku. Minta pemeriksaan profesional yang sesuai bila diperlukan.</w:t>
      </w:r>
    </w:p>
    <w:sectPr w:rsidR="00FC693F" w:rsidRPr="0006063C" w:rsidSect="00034616">
      <w:headerReference w:type="default" r:id="rId9"/>
      <w:footerReference w:type="default" r:id="rId10"/>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khadafidaffa.com  |  V1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KHADAFI  /  SERVICE BUSINESS STARTER KIT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DejaVu Sans" w:hAnsi="DejaVu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DejaVu Sans" w:hAnsi="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DejaVu Sans" w:hAnsi="DejaVu San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160"/>
      <w:contextualSpacing/>
    </w:pPr>
    <w:rPr>
      <w:rFonts w:asciiTheme="majorHAnsi" w:eastAsiaTheme="majorEastAsia" w:hAnsiTheme="majorHAnsi" w:cstheme="majorBidi" w:ascii="DejaVu Sans" w:hAnsi="DejaVu San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arinews.mahkamahagung.go.id/artikel/dilema-perjanjian-yang-dapat-dibatalkan-dan-batal-demi-hukum-02t" TargetMode="External"/><Relationship Id="rId12" Type="http://schemas.openxmlformats.org/officeDocument/2006/relationships/hyperlink" Target="https://peraturan.bpk.go.id/Details/229798/uu-no-27-tahun-20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