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Catalog dan Rate Card</w:t>
      </w:r>
    </w:p>
    <w:p>
      <w:r>
        <w:t>Lembar kerja untuk menghubungkan katalog layanan, pelanggan ideal, manfaat, scope, dan patokan tarif. Sesuaikan sebelum dipublikasikan; angka contoh bukan penawaran jasa Khadafi.</w:t>
      </w:r>
    </w:p>
    <w:p>
      <w:pPr>
        <w:pStyle w:val="Heading1"/>
      </w:pPr>
      <w:r>
        <w:t>Katalog dan positioning</w:t>
      </w:r>
    </w:p>
    <w:p>
      <w:pPr>
        <w:pStyle w:val="Heading2"/>
      </w:pPr>
      <w:r>
        <w:t>Cara menggunakan</w:t>
      </w:r>
    </w:p>
    <w:p>
      <w:r>
        <w:t>Mulai dengan satu sampai tiga layanan yang bisa dibuktikan. Isi setiap baris dengan hasil dan satuan yang jelas. Harga final ditetapkan setelah kebutuhan serta pengecualian dikonfirmasi.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Layanan</w:t>
            </w:r>
          </w:p>
        </w:tc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Pelanggan dan masalah</w:t>
            </w:r>
          </w:p>
        </w:tc>
        <w:tc>
          <w:tcPr>
            <w:tcW w:type="dxa" w:w="3600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Hasil dan batas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[WAJIB ISI]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[WAJIB ISI]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[WAJIB 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[Opsional]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Pelanggan ideal</w:t>
      </w:r>
    </w:p>
    <w:p>
      <w:pPr>
        <w:spacing w:after="60"/>
      </w:pPr>
      <w:r>
        <w:t>Jenis usaha, tahap, masalah, pemicu pembelian, dan pengambil keputusan.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Value proposition</w:t>
      </w:r>
    </w:p>
    <w:p>
      <w:pPr>
        <w:spacing w:after="60"/>
      </w:pPr>
      <w:r>
        <w:t>Saya membantu [siapa] mendapatkan [hasil yang dapat diperiksa] melalui [layanan dan pendekatan].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Bukti dan pengecualian</w:t>
      </w:r>
    </w:p>
    <w:p>
      <w:pPr>
        <w:spacing w:after="60"/>
      </w:pPr>
      <w:r>
        <w:t>Demo atau proyek mandiri berlabel jujur; pekerjaan yang tidak termasuk serta alasan kecocokannya.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Kebutuhan dari klien</w:t>
      </w:r>
    </w:p>
    <w:p>
      <w:pPr>
        <w:spacing w:after="60"/>
      </w:pPr>
      <w:r>
        <w:t>Bahan, PIC, hak pemakaian aset, akses minimum, dan waktu konfirmasi.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pStyle w:val="Heading1"/>
        <w:pageBreakBefore/>
      </w:pPr>
      <w:r>
        <w:t>Rate card internal dan publik</w:t>
      </w:r>
    </w:p>
    <w:p>
      <w:pPr>
        <w:pStyle w:val="Heading2"/>
      </w:pPr>
      <w:r>
        <w:t>Beda rate dan harga</w:t>
      </w:r>
    </w:p>
    <w:p>
      <w:r>
        <w:t>Rate internal membiayai kapasitas kerja. Tarif publik adalah penawaran kepada pembeli. Biaya langsung, risiko, margin, urgensi dan lisensi dapat mengubah harga proyek; jangan menyebut hasil kalkulator sebagai harga pasar.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Satuan</w:t>
            </w:r>
          </w:p>
        </w:tc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Tarif atau dasar</w:t>
            </w:r>
          </w:p>
        </w:tc>
        <w:tc>
          <w:tcPr>
            <w:tcW w:type="dxa" w:w="3600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Batas penggunaan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Per jam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[WAJIB ISI]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[Minimum dan batas anggaran]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Per hari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[Definisi jam dan hari]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Per proyek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[SOW dan deliverables]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Retainer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[Kuota dan masa layanan]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Asumsi perhitungan</w:t>
      </w:r>
    </w:p>
    <w:p>
      <w:pPr>
        <w:spacing w:after="60"/>
      </w:pPr>
      <w:r>
        <w:t>Kebutuhan bulanan, jam tertagih, biaya langsung, cadangan risiko, target margin dan pajak.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Aturan biaya tambahan</w:t>
      </w:r>
    </w:p>
    <w:p>
      <w:pPr>
        <w:spacing w:after="60"/>
      </w:pPr>
      <w:r>
        <w:t>Pembelian pihak ketiga, jam tambahan, revisi di luar jatah, pekerjaan mendesak; semua disetujui sebelum biaya timbul.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Tanggal berlaku dan persetujuan</w:t>
      </w:r>
    </w:p>
    <w:p>
      <w:pPr>
        <w:spacing w:after="60"/>
      </w:pPr>
      <w:r>
        <w:t>Versi rate card, masa berlaku, pemilik keputusan dan cara memberi quotation final.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pStyle w:val="Heading1"/>
        <w:pageBreakBefore/>
      </w:pPr>
      <w:r>
        <w:t>Contoh dan lima model layanan</w:t>
      </w:r>
    </w:p>
    <w:p>
      <w:r>
        <w:rPr>
          <w:i/>
          <w:sz w:val="18"/>
        </w:rPr>
        <w:t>CONTOH FIKTIF - DEMO-001 Kedai Senja. Landing page satu halaman lima section, mobile, tombol WhatsApp dan form brief. Tidak termasuk checkout, CMS, domain, hosting dan copywriting penuh.</w:t>
      </w:r>
    </w:p>
    <w:p>
      <w:pPr>
        <w:pStyle w:val="Heading2"/>
      </w:pPr>
      <w:r>
        <w:t>Dasar harga contoh</w:t>
      </w:r>
    </w:p>
    <w:p>
      <w:r>
        <w:t>Kebutuhan bulanan Rp8.000.000 / 100 jam tertagih = Rp80.000 per jam. Harga proyek: (30 x Rp80.000 + Rp400.000) x 1,10 / 0,80 = Rp3.850.000 sebelum penyesuaian pajak. Termin 50/30/20 persen. Gunakan kalkulator untuk mengganti input.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66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Makna praktis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On-demand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Dipesan saat dibutuhkan; waktu respons tetap disepakati.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Project-based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Ada hasil, batas scope dan tenggat.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Retainer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Layanan rutin dengan kuota atau kapasitas tertentu.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Productized service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Paket dan proses relatif standar.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Custom service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Scope, harga dan rencana disusun setelah discovery.</w:t>
            </w:r>
          </w:p>
        </w:tc>
      </w:tr>
    </w:tbl>
    <w:p>
      <w:pPr>
        <w:spacing w:after="40"/>
      </w:pPr>
    </w:p>
    <w:p>
      <w:r>
        <w:rPr>
          <w:i/>
          <w:sz w:val="18"/>
        </w:rPr>
        <w:t>Kelima label ini dapat beririsan. Paket website dapat productized sekaligus project-based; custom dapat dilanjutkan sebagai retainer. Tarif per jam adalah cara menagih, konsultasi adalah jenis pekerjaan.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khadafidaffa.com  | 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KHADAFI  /  SERVICE BUSINESS STARTER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