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 Policies dan Change Request</w:t>
      </w:r>
    </w:p>
    <w:p>
      <w:r>
        <w:t>Kerangka kebijakan operasional dan perubahan pekerjaan untuk dilampirkan ke penawaran. Selaraskan dengan SPK/SOW; ketentuan hukum dan refund harus disesuaikan dengan konteks serta aturan yang berlaku.</w:t>
      </w:r>
    </w:p>
    <w:p>
      <w:pPr>
        <w:pStyle w:val="Heading1"/>
      </w:pPr>
      <w:r>
        <w:t>Kebijakan layanan</w:t>
      </w:r>
    </w:p>
    <w:p>
      <w:pPr>
        <w:keepNext/>
      </w:pPr>
      <w:r>
        <w:rPr>
          <w:b/>
        </w:rPr>
        <w:t>Identitas dan hubungan dokumen</w:t>
      </w:r>
    </w:p>
    <w:p>
      <w:pPr>
        <w:spacing w:after="60"/>
      </w:pPr>
      <w:r>
        <w:t>Nama layanan, versi, tanggal, SPK/SOW terkait, dan prioritas dokumen bila berbeda.</w:t>
      </w:r>
    </w:p>
    <w:p>
      <w:pPr>
        <w:spacing w:after="20" w:line="240" w:lineRule="auto"/>
      </w:pPr>
      <w:r>
        <w:rPr>
          <w:color w:val="A0A69F"/>
          <w:sz w:val="16"/>
        </w:rPr>
        <w:t>________________________________________________________________________</w:t>
      </w:r>
    </w:p>
    <w:p>
      <w:pPr>
        <w:pStyle w:val="Heading2"/>
      </w:pPr>
      <w:r>
        <w:t>Revisi</w:t>
      </w:r>
    </w:p>
    <w:p>
      <w:r>
        <w:t>Termasuk [WAJIB ISI] putaran. Satu putaran berarti satu daftar masukan dari PIC dalam arah dan scope disetujui. Masukan disampaikan dalam [ISI] hari kerja. Kesalahan terhadap spesifikasi diperbaiki tanpa mengurangi jatah revisi.</w:t>
      </w:r>
    </w:p>
    <w:p>
      <w:pPr>
        <w:pStyle w:val="Heading2"/>
      </w:pPr>
      <w:r>
        <w:t>Tambahan pekerjaan</w:t>
      </w:r>
    </w:p>
    <w:p>
      <w:r>
        <w:t>Kebutuhan baru, perubahan arah, atau deliverables tambahan dinilai melalui change request. Dampak biaya dan jadwal diberikan sebelum dikerjakan. Persetujuan tertulis harus dapat ditelusuri.</w:t>
      </w:r>
    </w:p>
    <w:p>
      <w:pPr>
        <w:pStyle w:val="Heading2"/>
      </w:pPr>
      <w:r>
        <w:t>Jeda</w:t>
      </w:r>
    </w:p>
    <w:p>
      <w:r>
        <w:t>Keterlambatan bahan, keputusan, akses, atau pembayaran diberitahukan tertulis. Masa tanggapan [WAJIB ISI] hari kerja; mekanisme jeda dan penjadwalan ulang mengikuti SPK.</w:t>
      </w:r>
    </w:p>
    <w:p>
      <w:pPr>
        <w:keepNext/>
      </w:pPr>
      <w:r>
        <w:rPr>
          <w:b/>
        </w:rPr>
        <w:t>Kanal dan dukungan</w:t>
      </w:r>
    </w:p>
    <w:p>
      <w:pPr>
        <w:spacing w:after="60"/>
      </w:pPr>
      <w:r>
        <w:t>PIC, jam kerja, waktu respons, masa dukungan dan pengecualian. Jangan menjanjikan tersedia 24 jam bila tidak dapat dipenuhi.</w:t>
      </w:r>
    </w:p>
    <w:p>
      <w:pPr>
        <w:spacing w:after="20" w:line="240" w:lineRule="auto"/>
      </w:pPr>
      <w:r>
        <w:rPr>
          <w:color w:val="A0A69F"/>
          <w:sz w:val="16"/>
        </w:rPr>
        <w:t>________________________________________________________________________</w:t>
      </w:r>
    </w:p>
    <w:p>
      <w:pPr>
        <w:spacing w:after="20" w:line="240" w:lineRule="auto"/>
      </w:pPr>
      <w:r>
        <w:rPr>
          <w:color w:val="A0A69F"/>
          <w:sz w:val="16"/>
        </w:rPr>
        <w:t>________________________________________________________________________</w:t>
      </w:r>
    </w:p>
    <w:p>
      <w:pPr>
        <w:pStyle w:val="Heading1"/>
        <w:pageBreakBefore/>
      </w:pPr>
      <w:r>
        <w:t>Pembatalan dan rekonsiliasi</w:t>
      </w:r>
    </w:p>
    <w:p>
      <w:pPr>
        <w:pStyle w:val="Heading2"/>
      </w:pPr>
      <w:r>
        <w:t>Cara menghitung penyelesaian</w:t>
      </w:r>
    </w:p>
    <w:p>
      <w:r>
        <w:t>Pada pembatalan, para pihak memeriksa pekerjaan yang sudah selesai, biaya pihak ketiga yang disetujui dan tidak dapat dipulihkan, dana diterima, hak atas hasil yang dapat diserahkan, serta refund atau sisa tagihan. Mekanisme serta jangka waktu diputuskan pada versi final.</w:t>
      </w:r>
    </w:p>
    <w:p>
      <w:pPr>
        <w:keepNext/>
      </w:pPr>
      <w:r>
        <w:rPr>
          <w:b/>
        </w:rPr>
        <w:t>Keputusan yang harus diisi</w:t>
      </w:r>
    </w:p>
    <w:p>
      <w:pPr>
        <w:spacing w:after="60"/>
      </w:pPr>
      <w:r>
        <w:t>Alasan dan pemberitahuan pembatalan, kesempatan memperbaiki pelanggaran, bukti pekerjaan, batas biaya dan pemilik keputusan.</w:t>
      </w:r>
    </w:p>
    <w:p>
      <w:pPr>
        <w:spacing w:after="20" w:line="240" w:lineRule="auto"/>
      </w:pPr>
      <w:r>
        <w:rPr>
          <w:color w:val="A0A69F"/>
          <w:sz w:val="16"/>
        </w:rPr>
        <w:t>________________________________________________________________________</w:t>
      </w:r>
    </w:p>
    <w:p>
      <w:pPr>
        <w:spacing w:after="20" w:line="240" w:lineRule="auto"/>
      </w:pPr>
      <w:r>
        <w:rPr>
          <w:color w:val="A0A69F"/>
          <w:sz w:val="16"/>
        </w:rPr>
        <w:t>________________________________________________________________________</w:t>
      </w:r>
    </w:p>
    <w:tbl>
      <w:tblPr>
        <w:tblW w:type="auto" w:w="0"/>
        <w:tblLayout w:type="fixed"/>
        <w:tblLook w:firstColumn="1" w:firstRow="1" w:lastColumn="0" w:lastRow="0" w:noHBand="0" w:noVBand="1" w:val="04A0"/>
      </w:tblPr>
      <w:tblGrid>
        <w:gridCol w:w="4896"/>
        <w:gridCol w:w="4896"/>
      </w:tblGrid>
      <w:tr>
        <w:trPr>
          <w:tblHeader/>
          <w:cantSplit/>
        </w:trPr>
        <w:tc>
          <w:tcPr>
            <w:tcW w:type="dxa" w:w="3024"/>
            <w:vAlign w:val="center"/>
            <w:shd w:fill="303B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color w:val="FFFFFF"/>
                <w:sz w:val="20"/>
              </w:rPr>
              <w:t>Komponen</w:t>
            </w:r>
          </w:p>
        </w:tc>
        <w:tc>
          <w:tcPr>
            <w:tcW w:type="dxa" w:w="6624"/>
            <w:vAlign w:val="center"/>
            <w:shd w:fill="303B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color w:val="FFFFFF"/>
                <w:sz w:val="20"/>
              </w:rPr>
              <w:t>Nilai dan bukti</w:t>
            </w:r>
          </w:p>
        </w:tc>
      </w:tr>
      <w:tr>
        <w:trPr>
          <w:cantSplit/>
        </w:trPr>
        <w:tc>
          <w:tcPr>
            <w:tcW w:type="dxa" w:w="30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Dana diterima</w:t>
            </w:r>
          </w:p>
        </w:tc>
        <w:tc>
          <w:tcPr>
            <w:tcW w:type="dxa" w:w="66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Pekerjaan yang disepakati untuk dibayar</w:t>
            </w:r>
          </w:p>
        </w:tc>
        <w:tc>
          <w:tcPr>
            <w:tcW w:type="dxa" w:w="66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r>
      <w:tr>
        <w:trPr>
          <w:cantSplit/>
        </w:trPr>
        <w:tc>
          <w:tcPr>
            <w:tcW w:type="dxa" w:w="30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Biaya disetujui tak dapat dipulihkan</w:t>
            </w:r>
          </w:p>
        </w:tc>
        <w:tc>
          <w:tcPr>
            <w:tcW w:type="dxa" w:w="66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Penyesuaian terverifikasi</w:t>
            </w:r>
          </w:p>
        </w:tc>
        <w:tc>
          <w:tcPr>
            <w:tcW w:type="dxa" w:w="66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r>
      <w:tr>
        <w:trPr>
          <w:cantSplit/>
        </w:trPr>
        <w:tc>
          <w:tcPr>
            <w:tcW w:type="dxa" w:w="30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Refund atau sisa tagihan</w:t>
            </w:r>
          </w:p>
        </w:tc>
        <w:tc>
          <w:tcPr>
            <w:tcW w:type="dxa" w:w="66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r>
    </w:tbl>
    <w:p>
      <w:pPr>
        <w:spacing w:after="40"/>
      </w:pPr>
    </w:p>
    <w:p>
      <w:pPr>
        <w:keepNext/>
      </w:pPr>
      <w:r>
        <w:rPr>
          <w:b/>
        </w:rPr>
        <w:t>Hasil rekonsiliasi</w:t>
      </w:r>
    </w:p>
    <w:p>
      <w:pPr>
        <w:spacing w:after="60"/>
      </w:pPr>
      <w:r>
        <w:t>Jumlah final, alasan, tanggal penyelesaian dan persetujuan kedua pihak.</w:t>
      </w:r>
    </w:p>
    <w:p>
      <w:pPr>
        <w:spacing w:after="20" w:line="240" w:lineRule="auto"/>
      </w:pPr>
      <w:r>
        <w:rPr>
          <w:color w:val="A0A69F"/>
          <w:sz w:val="16"/>
        </w:rPr>
        <w:t>________________________________________________________________________</w:t>
      </w:r>
    </w:p>
    <w:p>
      <w:r>
        <w:rPr>
          <w:i/>
          <w:sz w:val="18"/>
        </w:rPr>
        <w:t>Tidak ada rumus otomatis yang mengesahkan refund atau pemotongan. Jangan memakai ketentuan semua DP hangus tanpa dasar dan penjelasan yang sesuai.</w:t>
      </w:r>
    </w:p>
    <w:p>
      <w:pPr>
        <w:pStyle w:val="Heading1"/>
        <w:pageBreakBefore/>
      </w:pPr>
      <w:r>
        <w:t>Form perubahan pekerjaan</w:t>
      </w:r>
    </w:p>
    <w:p>
      <w:pPr>
        <w:keepNext/>
      </w:pPr>
      <w:r>
        <w:rPr>
          <w:b/>
        </w:rPr>
        <w:t>Identitas permintaan</w:t>
      </w:r>
    </w:p>
    <w:p>
      <w:pPr>
        <w:spacing w:after="60"/>
      </w:pPr>
      <w:r>
        <w:t>Nomor change request, ID proyek, pemohon, tanggal dan SOW sebelumnya.</w:t>
      </w:r>
    </w:p>
    <w:p>
      <w:pPr>
        <w:spacing w:after="20" w:line="240" w:lineRule="auto"/>
      </w:pPr>
      <w:r>
        <w:rPr>
          <w:color w:val="A0A69F"/>
          <w:sz w:val="16"/>
        </w:rPr>
        <w:t>________________________________________________________________________</w:t>
      </w:r>
    </w:p>
    <w:p>
      <w:pPr>
        <w:keepNext/>
      </w:pPr>
      <w:r>
        <w:rPr>
          <w:b/>
        </w:rPr>
        <w:t>Kebutuhan baru dan alasan</w:t>
      </w:r>
    </w:p>
    <w:p>
      <w:pPr>
        <w:spacing w:after="60"/>
      </w:pPr>
      <w:r>
        <w:t>Jelaskan apa yang berubah serta apa yang tetap termasuk scope lama.</w:t>
      </w:r>
    </w:p>
    <w:p>
      <w:pPr>
        <w:spacing w:after="20" w:line="240" w:lineRule="auto"/>
      </w:pPr>
      <w:r>
        <w:rPr>
          <w:color w:val="A0A69F"/>
          <w:sz w:val="16"/>
        </w:rPr>
        <w:t>________________________________________________________________________</w:t>
      </w:r>
    </w:p>
    <w:p>
      <w:pPr>
        <w:spacing w:after="20" w:line="240" w:lineRule="auto"/>
      </w:pPr>
      <w:r>
        <w:rPr>
          <w:color w:val="A0A69F"/>
          <w:sz w:val="16"/>
        </w:rPr>
        <w:t>________________________________________________________________________</w:t>
      </w:r>
    </w:p>
    <w:tbl>
      <w:tblPr>
        <w:tblW w:type="auto" w:w="0"/>
        <w:tblLayout w:type="fixed"/>
        <w:tblLook w:firstColumn="1" w:firstRow="1" w:lastColumn="0" w:lastRow="0" w:noHBand="0" w:noVBand="1" w:val="04A0"/>
      </w:tblPr>
      <w:tblGrid>
        <w:gridCol w:w="3264"/>
        <w:gridCol w:w="3264"/>
        <w:gridCol w:w="3264"/>
      </w:tblGrid>
      <w:tr>
        <w:trPr>
          <w:tblHeader/>
          <w:cantSplit/>
        </w:trPr>
        <w:tc>
          <w:tcPr>
            <w:tcW w:type="dxa" w:w="3024"/>
            <w:vAlign w:val="center"/>
            <w:shd w:fill="303B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color w:val="FFFFFF"/>
                <w:sz w:val="20"/>
              </w:rPr>
              <w:t>Dampak</w:t>
            </w:r>
          </w:p>
        </w:tc>
        <w:tc>
          <w:tcPr>
            <w:tcW w:type="dxa" w:w="3024"/>
            <w:vAlign w:val="center"/>
            <w:shd w:fill="303B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color w:val="FFFFFF"/>
                <w:sz w:val="20"/>
              </w:rPr>
              <w:t>Sebelum</w:t>
            </w:r>
          </w:p>
        </w:tc>
        <w:tc>
          <w:tcPr>
            <w:tcW w:type="dxa" w:w="3600"/>
            <w:vAlign w:val="center"/>
            <w:shd w:fill="303B3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color w:val="FFFFFF"/>
                <w:sz w:val="20"/>
              </w:rPr>
              <w:t>Setelah</w:t>
            </w:r>
          </w:p>
        </w:tc>
      </w:tr>
      <w:tr>
        <w:trPr>
          <w:cantSplit/>
        </w:trPr>
        <w:tc>
          <w:tcPr>
            <w:tcW w:type="dxa" w:w="30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Deliverables dan acceptance</w:t>
            </w:r>
          </w:p>
        </w:tc>
        <w:tc>
          <w:tcPr>
            <w:tcW w:type="dxa" w:w="30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c>
          <w:tcPr>
            <w:tcW w:type="dxa" w:w="3600"/>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Biaya dan termin</w:t>
            </w:r>
          </w:p>
        </w:tc>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c>
          <w:tcPr>
            <w:tcW w:type="dxa" w:w="360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r>
      <w:tr>
        <w:trPr>
          <w:cantSplit/>
        </w:trPr>
        <w:tc>
          <w:tcPr>
            <w:tcW w:type="dxa" w:w="30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Jadwal dan ketergantungan</w:t>
            </w:r>
          </w:p>
        </w:tc>
        <w:tc>
          <w:tcPr>
            <w:tcW w:type="dxa" w:w="3024"/>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c>
          <w:tcPr>
            <w:tcW w:type="dxa" w:w="3600"/>
            <w:vAlign w:val="center"/>
            <w:shd w:fill="F5F6F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Lisensi akses dan dukungan</w:t>
            </w:r>
          </w:p>
        </w:tc>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c>
          <w:tcPr>
            <w:tcW w:type="dxa" w:w="360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40" w:line="269" w:lineRule="auto"/>
            </w:pPr>
            <w:r>
              <w:rPr>
                <w:b w:val="0"/>
                <w:color w:val="202321"/>
                <w:sz w:val="20"/>
              </w:rPr>
              <w:t>[ISI]</w:t>
            </w:r>
          </w:p>
        </w:tc>
      </w:tr>
    </w:tbl>
    <w:p>
      <w:pPr>
        <w:spacing w:after="40"/>
      </w:pPr>
    </w:p>
    <w:p>
      <w:pPr>
        <w:keepNext/>
      </w:pPr>
      <w:r>
        <w:rPr>
          <w:b/>
        </w:rPr>
        <w:t>Keputusan</w:t>
      </w:r>
    </w:p>
    <w:p>
      <w:pPr>
        <w:spacing w:after="60"/>
      </w:pPr>
      <w:r>
        <w:t>Diterima atau ditolak, nama PIC berwenang, bukti persetujuan serta tanggal berlaku.</w:t>
      </w:r>
    </w:p>
    <w:p>
      <w:pPr>
        <w:spacing w:after="20" w:line="240" w:lineRule="auto"/>
      </w:pPr>
      <w:r>
        <w:rPr>
          <w:color w:val="A0A69F"/>
          <w:sz w:val="16"/>
        </w:rPr>
        <w:t>________________________________________________________________________</w:t>
      </w:r>
    </w:p>
    <w:p>
      <w:r>
        <w:rPr>
          <w:i/>
          <w:sz w:val="18"/>
        </w:rPr>
        <w:t>CONTOH FIKTIF - Mengganti warna tombol dalam arah disetujui adalah revisi. Menambahkan checkout pada landing page adalah perubahan. Nilai tambahannya belum dihitung; jangan mengarang nominal atau mengerjakan sebelum disetujui.</w:t>
      </w:r>
    </w:p>
    <w:sectPr w:rsidR="00FC693F" w:rsidRPr="0006063C" w:rsidSect="00034616">
      <w:headerReference w:type="default" r:id="rId9"/>
      <w:footerReference w:type="default" r:id="rId10"/>
      <w:pgSz w:w="12240" w:h="15840"/>
      <w:pgMar w:top="936"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khadafidaffa.com  |  V2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KHADAFI  /  SERVICE BUSINESS STARTER KIT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DejaVu Sans" w:hAnsi="DejaVu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DejaVu Sans" w:hAnsi="DejaVu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ascii="DejaVu Sans" w:hAnsi="DejaVu San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160"/>
      <w:contextualSpacing/>
    </w:pPr>
    <w:rPr>
      <w:rFonts w:asciiTheme="majorHAnsi" w:eastAsiaTheme="majorEastAsia" w:hAnsiTheme="majorHAnsi" w:cstheme="majorBidi" w:ascii="DejaVu Sans" w:hAnsi="DejaVu San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