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Maintenance dan SLA Opsional</w:t>
      </w:r>
    </w:p>
    <w:p>
      <w:r>
        <w:t>Kerangka edukasi opsional, bukan dokumen yang dijamin cocok atau sah universal. Isi setiap keputusan, selaraskan dengan SPK dan minta pemeriksaan hukum yang sesuai sebelum disepakati.</w:t>
      </w:r>
    </w:p>
    <w:p>
      <w:pPr>
        <w:pStyle w:val="Heading1"/>
      </w:pPr>
      <w:r>
        <w:t>Cakupan layanan rutin</w:t>
      </w:r>
    </w:p>
    <w:p>
      <w:pPr>
        <w:keepNext/>
      </w:pPr>
      <w:r>
        <w:rPr>
          <w:b/>
        </w:rPr>
        <w:t>Para pihak dan periode</w:t>
      </w:r>
    </w:p>
    <w:p>
      <w:pPr>
        <w:spacing w:after="60"/>
      </w:pPr>
      <w:r>
        <w:t>Nama, PIC, sistem yang didukung, SPK terkait, tanggal mulai dan akhir.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Layanan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Kuota atau batas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Tidak termasuk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Pemeliharaan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Perubahan konten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Monitoring atau backup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pPr>
        <w:pStyle w:val="Heading2"/>
      </w:pPr>
      <w:r>
        <w:t>Harga dan kapasitas</w:t>
      </w:r>
    </w:p>
    <w:p>
      <w:r>
        <w:t>Biaya, periode penagihan, jatuh tempo, biaya pihak ketiga, pajak, aturan sisa kuota dan tambahan kapasitas: [WAJIB ISI]. Layanan baru di luar cakupan membutuhkan persetujuan biaya dan waktu.</w:t>
      </w:r>
    </w:p>
    <w:p>
      <w:pPr>
        <w:keepNext/>
      </w:pPr>
      <w:r>
        <w:rPr>
          <w:b/>
        </w:rPr>
        <w:t>Jam dan kanal</w:t>
      </w:r>
    </w:p>
    <w:p>
      <w:pPr>
        <w:spacing w:after="60"/>
      </w:pPr>
      <w:r>
        <w:t>Hari dan jam layanan, zona waktu, PIC, saluran laporan, informasi minimum pada tiket.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Jangan menawarkan uptime atau ketersediaan 24 jam tanpa kapasitas dan kendali yang diperlukan. Waktu respons adalah waktu memberi tanggapan, bukan otomatis waktu masalah selesai.</w:t>
      </w:r>
    </w:p>
    <w:p>
      <w:pPr>
        <w:pStyle w:val="Heading1"/>
        <w:pageBreakBefore/>
      </w:pPr>
      <w:r>
        <w:t>Prioritas dan penghentian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/>
          <w:cantSplit/>
        </w:trPr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Prioritas</w:t>
            </w:r>
          </w:p>
        </w:tc>
        <w:tc>
          <w:tcPr>
            <w:tcW w:type="dxa" w:w="3024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Definisi</w:t>
            </w:r>
          </w:p>
        </w:tc>
        <w:tc>
          <w:tcPr>
            <w:tcW w:type="dxa" w:w="3600"/>
            <w:vAlign w:val="center"/>
            <w:shd w:fill="303B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20"/>
              </w:rPr>
              <w:t>Respons dan target pemulihan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Kritis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[WAJIB 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Tinggi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Normal</w:t>
            </w:r>
          </w:p>
        </w:tc>
        <w:tc>
          <w:tcPr>
            <w:tcW w:type="dxa" w:w="3024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  <w:tc>
          <w:tcPr>
            <w:tcW w:type="dxa" w:w="3600"/>
            <w:vAlign w:val="center"/>
            <w:shd w:fill="F5F6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color w:val="202321"/>
                <w:sz w:val="20"/>
              </w:rPr>
              <w:t>[ISI]</w:t>
            </w:r>
          </w:p>
        </w:tc>
      </w:tr>
    </w:tbl>
    <w:p>
      <w:pPr>
        <w:spacing w:after="40"/>
      </w:pPr>
    </w:p>
    <w:p>
      <w:pPr>
        <w:pStyle w:val="Heading2"/>
      </w:pPr>
      <w:r>
        <w:t>Pengukuran</w:t>
      </w:r>
    </w:p>
    <w:p>
      <w:r>
        <w:t>Sumber waktu tiket, aturan jeda saat menunggu klien, pengecualian terukur, ketergantungan provider dan pelaporan: [WAJIB ISI]. Target berbeda dari jaminan; jangan menjanjikan kompensasi yang belum disepakati.</w:t>
      </w:r>
    </w:p>
    <w:p>
      <w:pPr>
        <w:pStyle w:val="Heading2"/>
      </w:pPr>
      <w:r>
        <w:t>Perpanjangan dan pengakhiran</w:t>
      </w:r>
    </w:p>
    <w:p>
      <w:r>
        <w:t>Masa pemberitahuan, mekanisme perpanjangan, rekonsiliasi biaya, pemindahan akses, backup, retensi dan penghapusan data: [WAJIB ISI]. Hak serta tanggung jawab mengikuti SPK dan lampiran final.</w:t>
      </w:r>
    </w:p>
    <w:p>
      <w:pPr>
        <w:keepNext/>
      </w:pPr>
      <w:r>
        <w:rPr>
          <w:b/>
        </w:rPr>
        <w:t>Persetujuan</w:t>
      </w:r>
    </w:p>
    <w:p>
      <w:pPr>
        <w:spacing w:after="60"/>
      </w:pPr>
      <w:r>
        <w:t>Identitas penandatangan berwenang, metode persetujuan, tanggal dan versi dokumen.</w:t>
      </w:r>
    </w:p>
    <w:p>
      <w:pPr>
        <w:spacing w:after="20" w:line="240" w:lineRule="auto"/>
      </w:pPr>
      <w:r>
        <w:rPr>
          <w:color w:val="A0A69F"/>
          <w:sz w:val="16"/>
        </w:rPr>
        <w:t>________________________________________________________________________</w:t>
      </w:r>
    </w:p>
    <w:p>
      <w:r>
        <w:rPr>
          <w:i/>
          <w:sz w:val="18"/>
        </w:rPr>
        <w:t>CONTOH FIKTIF - Retainer pemeliharaan tidak otomatis mencakup pengembangan fitur baru. Kuota dan waktu respons harus diisi berdasarkan kapasitas nyata; tidak diberikan angka standar yang mengikat.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khadafidaffa.com  | 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KHADAFI  /  SERVICE BUSINESS STARTER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160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