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NDA Opsional</w:t>
      </w:r>
    </w:p>
    <w:p>
      <w:r>
        <w:t>Kerangka edukasi opsional, bukan dokumen yang dijamin cocok atau sah universal. Isi setiap keputusan, selaraskan dengan SPK dan minta pemeriksaan hukum yang sesuai sebelum disepakati.</w:t>
      </w:r>
    </w:p>
    <w:p>
      <w:pPr>
        <w:pStyle w:val="Heading1"/>
      </w:pPr>
      <w:r>
        <w:t>Para pihak dan informasi rahasia</w:t>
      </w:r>
    </w:p>
    <w:p>
      <w:pPr>
        <w:keepNext/>
      </w:pPr>
      <w:r>
        <w:rPr>
          <w:b/>
        </w:rPr>
        <w:t>Para pihak dan tujuan</w:t>
      </w:r>
    </w:p>
    <w:p>
      <w:pPr>
        <w:spacing w:after="60"/>
      </w:pPr>
      <w:r>
        <w:t>[WAJIB ISI: nama, alamat korespondensi, kewenangan, tanggal dan tujuan pengungkapan]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pStyle w:val="Heading2"/>
      </w:pPr>
      <w:r>
        <w:t>1 Ruang lingkup</w:t>
      </w:r>
    </w:p>
    <w:p>
      <w:r>
        <w:t>Informasi nonpublik yang dibagikan untuk [WAJIB ISI: tujuan] meliputi [kategori, media dan cara penandaan]. Pilih sifat timbal balik atau satu arah serta pihak pengungkap dan penerima [WAJIB ISI]. Akses dibatasi kepada orang yang memerlukan untuk tujuan tersebut.</w:t>
      </w:r>
    </w:p>
    <w:p>
      <w:pPr>
        <w:pStyle w:val="Heading2"/>
      </w:pPr>
      <w:r>
        <w:t>2 Kewajiban penerima</w:t>
      </w:r>
    </w:p>
    <w:p>
      <w:r>
        <w:t>Informasi digunakan hanya untuk tujuan yang disetujui, dijaga dengan langkah perlindungan [WAJIB ISI], dan tidak dibagikan ke pihak lain atau layanan AI tanpa persetujuan serta dasar yang sesuai. Kewajiban orang yang diberi akses [WAJIB ISI].</w:t>
      </w:r>
    </w:p>
    <w:p>
      <w:pPr>
        <w:pStyle w:val="Heading2"/>
      </w:pPr>
      <w:r>
        <w:t>3 Pengecualian</w:t>
      </w:r>
    </w:p>
    <w:p>
      <w:r>
        <w:t>Informasi yang dapat dibuktikan sudah diketahui secara sah, tersedia untuk umum bukan akibat pelanggaran, dikembangkan mandiri, atau diperoleh sah dari pihak lain dikecualikan sesuai [WAJIB ISI: mekanisme bukti]. Pengungkapan yang diwajibkan hukum ditangani melalui mekanisme yang sah [ISI].</w:t>
      </w:r>
    </w:p>
    <w:p>
      <w:pPr>
        <w:pStyle w:val="Heading1"/>
        <w:pageBreakBefore/>
      </w:pPr>
      <w:r>
        <w:t>Masa berlaku dan persetujuan</w:t>
      </w:r>
    </w:p>
    <w:p>
      <w:pPr>
        <w:pStyle w:val="Heading2"/>
      </w:pPr>
      <w:r>
        <w:t>4 Hak dan pengembalian</w:t>
      </w:r>
    </w:p>
    <w:p>
      <w:r>
        <w:t>Pengungkapan tidak otomatis mengalihkan hak kekayaan intelektual atau memberi izin di luar tujuan. Pengembalian atau penghapusan salinan, pengecualian penyimpanan wajib serta penanganan backup: [WAJIB ISI].</w:t>
      </w:r>
    </w:p>
    <w:p>
      <w:pPr>
        <w:pStyle w:val="Heading2"/>
      </w:pPr>
      <w:r>
        <w:t>5 Durasi dan insiden</w:t>
      </w:r>
    </w:p>
    <w:p>
      <w:r>
        <w:t>Masa berbagi informasi [WAJIB ISI] dan periode kewajiban kerahasiaan [WAJIB ISI]. Kejadian yang memengaruhi kerahasiaan diberitahukan kepada kontak [ISI] melalui [ISI] dengan waktu serta tindakan mengikuti kewajiban yang berlaku dan kesepakatan.</w:t>
      </w:r>
    </w:p>
    <w:p>
      <w:pPr>
        <w:pStyle w:val="Heading2"/>
      </w:pPr>
      <w:r>
        <w:t>6 Penyelesaian</w:t>
      </w:r>
    </w:p>
    <w:p>
      <w:r>
        <w:t>Hukum, bahasa, tanggung jawab, mekanisme perselisihan, hubungan dengan SPK dan cara penandatanganan: [WAJIB ISI setelah penyesuaian profesional]. Tidak ada pengesampingan kewajiban yang tidak dapat dikesampingkan.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Pihak pertama</w:t>
            </w:r>
          </w:p>
        </w:tc>
        <w:tc>
          <w:tcPr>
            <w:tcW w:type="dxa" w:w="66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Pihak kedua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Nama dan kewenangan [ISI]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Nama dan kewenangan 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Tanda tangan dan tanggal [ISI]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Tanda tangan dan tanggal [ISI]</w:t>
            </w:r>
          </w:p>
        </w:tc>
      </w:tr>
    </w:tbl>
    <w:p>
      <w:pPr>
        <w:spacing w:after="40"/>
      </w:pPr>
    </w:p>
    <w:p>
      <w:r>
        <w:rPr>
          <w:i/>
          <w:sz w:val="18"/>
        </w:rPr>
        <w:t>NDA tidak menggantikan pengaturan pemrosesan data pribadi. Referensi dasar perjanjian: https://marinews.mahkamahagung.go.id/artikel/dilema-perjanjian-yang-dapat-dibatalkan-dan-batal-demi-hukum-02t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khadafidaffa.com  | 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KHADAFI  /  SERVICE BUSINESS STARTER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