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Processing Worksheet Opsional</w:t>
      </w:r>
    </w:p>
    <w:p>
      <w:r>
        <w:t>Lembar persiapan lampiran pemrosesan data pribadi untuk dibahas dengan pihak yang berwenang. Ini bukan DPA lengkap atau penilaian kepatuhan dan tidak boleh diberi label siap tanda tangan tanpa pemeriksaan sesuai konteks.</w:t>
      </w:r>
    </w:p>
    <w:p>
      <w:pPr>
        <w:pStyle w:val="Heading1"/>
      </w:pPr>
      <w:r>
        <w:t>Pemetaan pemrosesan</w:t>
      </w:r>
    </w:p>
    <w:p>
      <w:pPr>
        <w:pStyle w:val="Heading2"/>
      </w:pPr>
      <w:r>
        <w:t>Kapan digunakan</w:t>
      </w:r>
    </w:p>
    <w:p>
      <w:r>
        <w:t>Gunakan ketika pekerjaan mengolah data pribadi atas nama klien. Tentukan peran berdasarkan kegiatan sebenarnya, bukan hanya nama kontrak. Jika perannya belum jelas, selesaikan penilaian sebelum akses atau pemrosesan dimulai.</w:t>
      </w:r>
    </w:p>
    <w:p>
      <w:pPr>
        <w:keepNext/>
      </w:pPr>
      <w:r>
        <w:rPr>
          <w:b/>
        </w:rPr>
        <w:t>Para pihak dan peran</w:t>
      </w:r>
    </w:p>
    <w:p>
      <w:pPr>
        <w:spacing w:after="60"/>
      </w:pPr>
      <w:r>
        <w:t>Siapa menentukan tujuan dan cara pemrosesan, siapa memproses atas instruksi, siapa PIC dan penandatangan?</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keepNext/>
      </w:pPr>
      <w:r>
        <w:rPr>
          <w:b/>
        </w:rPr>
        <w:t>Tujuan instruksi dan durasi</w:t>
      </w:r>
    </w:p>
    <w:p>
      <w:pPr>
        <w:spacing w:after="60"/>
      </w:pPr>
      <w:r>
        <w:t>Tujuan spesifik, instruksi tertulis, kegiatan yang diizinkan dan kapan selesai.</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tbl>
      <w:tblPr>
        <w:tblW w:type="auto" w:w="0"/>
        <w:tblLayout w:type="fixed"/>
        <w:tblLook w:firstColumn="1" w:firstRow="1" w:lastColumn="0" w:lastRow="0" w:noHBand="0" w:noVBand="1" w:val="04A0"/>
      </w:tblPr>
      <w:tblGrid>
        <w:gridCol w:w="3264"/>
        <w:gridCol w:w="3264"/>
        <w:gridCol w:w="3264"/>
      </w:tblGrid>
      <w:tr>
        <w:trPr>
          <w:tblHeader/>
          <w:cantSplit/>
        </w:trPr>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Kategori subjek dan data</w:t>
            </w:r>
          </w:p>
        </w:tc>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Sumber serta tujuan</w:t>
            </w:r>
          </w:p>
        </w:tc>
        <w:tc>
          <w:tcPr>
            <w:tcW w:type="dxa" w:w="3600"/>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Akses dan lokasi</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[WAJIB ISI]</w:t>
            </w:r>
          </w:p>
        </w:tc>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[WAJIB ISI]</w:t>
            </w:r>
          </w:p>
        </w:tc>
        <w:tc>
          <w:tcPr>
            <w:tcW w:type="dxa" w:w="3600"/>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[WAJIB ISI]</w:t>
            </w:r>
          </w:p>
        </w:tc>
      </w:tr>
    </w:tbl>
    <w:p>
      <w:pPr>
        <w:spacing w:after="40"/>
      </w:pPr>
    </w:p>
    <w:p>
      <w:pPr>
        <w:keepNext/>
      </w:pPr>
      <w:r>
        <w:rPr>
          <w:b/>
        </w:rPr>
        <w:t>Provider dan perpindahan data</w:t>
      </w:r>
    </w:p>
    <w:p>
      <w:pPr>
        <w:spacing w:after="60"/>
      </w:pPr>
      <w:r>
        <w:t>Subprosesor, cloud, AI, lokasi pemrosesan dan backup, persetujuan serta kondisi transfer yang harus ditinjau.</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r>
        <w:rPr>
          <w:i/>
          <w:sz w:val="18"/>
        </w:rPr>
        <w:t>Jangan mengisi dengan data pribadi sungguhan pada contoh publik. Gunakan kategori data dan sistem, bukan daftar identitas orang.</w:t>
      </w:r>
    </w:p>
    <w:p>
      <w:pPr>
        <w:pStyle w:val="Heading1"/>
        <w:pageBreakBefore/>
      </w:pPr>
      <w:r>
        <w:t>Kontrol dan tinjauan</w:t>
      </w:r>
    </w:p>
    <w:p>
      <w:pPr>
        <w:keepNext/>
      </w:pPr>
      <w:r>
        <w:rPr>
          <w:b/>
        </w:rPr>
        <w:t>Keamanan dan akses</w:t>
      </w:r>
    </w:p>
    <w:p>
      <w:pPr>
        <w:spacing w:after="60"/>
      </w:pPr>
      <w:r>
        <w:t>Izin minimum, autentikasi, pencatatan, pemisahan lingkungan, backup dan cara menguji kontrol.</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keepNext/>
      </w:pPr>
      <w:r>
        <w:rPr>
          <w:b/>
        </w:rPr>
        <w:t>Insiden dan permintaan subjek</w:t>
      </w:r>
    </w:p>
    <w:p>
      <w:pPr>
        <w:spacing w:after="60"/>
      </w:pPr>
      <w:r>
        <w:t>Kontak, jalur pelaporan, bantuan pemenuhan hak, batas waktu yang berlaku serta tanggung jawab setiap pihak.</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keepNext/>
      </w:pPr>
      <w:r>
        <w:rPr>
          <w:b/>
        </w:rPr>
        <w:t>Akhir layanan</w:t>
      </w:r>
    </w:p>
    <w:p>
      <w:pPr>
        <w:spacing w:after="60"/>
      </w:pPr>
      <w:r>
        <w:t>Pengembalian atau penghapusan, format ekspor, backup, pengecualian simpan wajib dan bukti penyelesaian.</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keepNext/>
      </w:pPr>
      <w:r>
        <w:rPr>
          <w:b/>
        </w:rPr>
        <w:t>Persetujuan dan audit</w:t>
      </w:r>
    </w:p>
    <w:p>
      <w:pPr>
        <w:spacing w:after="60"/>
      </w:pPr>
      <w:r>
        <w:t>Pengelolaan perubahan instruksi, akses bukti kontrol, kewajiban subprosesor, tanggung jawab dan mekanisme sengketa.</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pStyle w:val="Heading2"/>
      </w:pPr>
      <w:r>
        <w:t>Hasil review</w:t>
      </w:r>
    </w:p>
    <w:p>
      <w:r>
        <w:t>Catat kekurangan, pemilik tindak lanjut, keputusan akses serta dokumen final yang harus disepakati. Status lembar ini: persiapan review, bukan bukti bahwa seluruh kewajiban sudah dipenuhi.</w:t>
      </w:r>
    </w:p>
    <w:p>
      <w:r>
        <w:rPr>
          <w:i/>
          <w:sz w:val="18"/>
        </w:rPr>
        <w:t>Sumber resmi: UU Nomor 27 Tahun 2022 tentang Pelindungan Data Pribadi, https://peraturan.bpk.go.id/Details/229798/uu-no-27-tahun-2022 . Diperiksa 20 Oktober 2026. Kewajiban rinci perlu ditinjau terhadap kegiatan dan aturan yang berlaku.</w:t>
      </w:r>
    </w:p>
    <w:sectPr w:rsidR="00FC693F" w:rsidRPr="0006063C" w:rsidSect="00034616">
      <w:headerReference w:type="default" r:id="rId9"/>
      <w:footerReference w:type="default" r:id="rId10"/>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khadafidaffa.com  |  V2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KHADAFI  /  SERVICE BUSINESS STARTER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DejaVu Sans" w:hAnsi="DejaVu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60"/>
      <w:contextualSpacing/>
    </w:pPr>
    <w:rPr>
      <w:rFonts w:asciiTheme="majorHAnsi" w:eastAsiaTheme="majorEastAsia" w:hAnsiTheme="majorHAnsi" w:cstheme="majorBidi" w:ascii="DejaVu Sans" w:hAnsi="DejaVu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